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CB3" w:rsidRDefault="008D41BC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041CB3" w:rsidRDefault="008D41BC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041CB3" w:rsidRDefault="008D4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041CB3" w:rsidRDefault="008D4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041CB3" w:rsidRDefault="008D41B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41CB3" w:rsidRDefault="00041CB3">
      <w:pPr>
        <w:jc w:val="center"/>
        <w:rPr>
          <w:b/>
          <w:bCs/>
          <w:sz w:val="28"/>
          <w:szCs w:val="28"/>
        </w:rPr>
      </w:pPr>
    </w:p>
    <w:p w:rsidR="00041CB3" w:rsidRDefault="00FD7330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8D41BC">
        <w:rPr>
          <w:b/>
          <w:bCs/>
          <w:sz w:val="28"/>
          <w:szCs w:val="28"/>
        </w:rPr>
        <w:t xml:space="preserve"> общественных финансов </w:t>
      </w:r>
    </w:p>
    <w:p w:rsidR="00041CB3" w:rsidRDefault="008D41BC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0"/>
        <w:gridCol w:w="6785"/>
      </w:tblGrid>
      <w:tr w:rsidR="00041CB3">
        <w:tc>
          <w:tcPr>
            <w:tcW w:w="3420" w:type="dxa"/>
          </w:tcPr>
          <w:p w:rsidR="00041CB3" w:rsidRDefault="00041C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4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041CB3">
              <w:trPr>
                <w:jc w:val="right"/>
              </w:trPr>
              <w:tc>
                <w:tcPr>
                  <w:tcW w:w="6566" w:type="dxa"/>
                </w:tcPr>
                <w:p w:rsidR="00041CB3" w:rsidRDefault="008D41BC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041CB3" w:rsidRDefault="008D41BC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041CB3" w:rsidRDefault="00041CB3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041CB3">
              <w:trPr>
                <w:jc w:val="right"/>
              </w:trPr>
              <w:tc>
                <w:tcPr>
                  <w:tcW w:w="6566" w:type="dxa"/>
                </w:tcPr>
                <w:p w:rsidR="00041CB3" w:rsidRDefault="008D41BC" w:rsidP="0021469C">
                  <w:pPr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041CB3" w:rsidRDefault="008D41BC" w:rsidP="0021469C">
                  <w:pPr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041CB3" w:rsidRDefault="0021469C" w:rsidP="0021469C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</w:t>
                  </w:r>
                  <w:r w:rsidR="008D41BC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:rsidR="00041CB3" w:rsidRDefault="008D41BC" w:rsidP="0021469C">
                  <w:pPr>
                    <w:spacing w:line="276" w:lineRule="auto"/>
                    <w:ind w:right="284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</w:t>
                  </w:r>
                  <w:r w:rsidR="0021469C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         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«</w:t>
                  </w:r>
                  <w:r w:rsidR="0021469C">
                    <w:rPr>
                      <w:rFonts w:cs="Palatino Linotype"/>
                      <w:sz w:val="28"/>
                      <w:szCs w:val="28"/>
                      <w:lang w:eastAsia="ar-SA"/>
                    </w:rPr>
                    <w:t>24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 w:rsidR="0021469C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мая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2024 г.</w:t>
                  </w:r>
                </w:p>
                <w:p w:rsidR="00041CB3" w:rsidRDefault="00041CB3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41CB3" w:rsidRDefault="00041CB3">
            <w:pPr>
              <w:jc w:val="right"/>
              <w:rPr>
                <w:sz w:val="28"/>
                <w:szCs w:val="28"/>
              </w:rPr>
            </w:pPr>
          </w:p>
        </w:tc>
      </w:tr>
    </w:tbl>
    <w:p w:rsidR="00041CB3" w:rsidRDefault="00041CB3">
      <w:pPr>
        <w:jc w:val="right"/>
        <w:rPr>
          <w:b/>
          <w:bCs/>
          <w:sz w:val="28"/>
          <w:szCs w:val="28"/>
        </w:rPr>
      </w:pPr>
    </w:p>
    <w:p w:rsidR="00041CB3" w:rsidRDefault="00041CB3">
      <w:pPr>
        <w:jc w:val="center"/>
        <w:rPr>
          <w:sz w:val="28"/>
          <w:szCs w:val="28"/>
        </w:rPr>
      </w:pPr>
    </w:p>
    <w:p w:rsidR="00041CB3" w:rsidRDefault="008D41BC">
      <w:pPr>
        <w:jc w:val="center"/>
        <w:rPr>
          <w:sz w:val="28"/>
          <w:szCs w:val="28"/>
        </w:rPr>
      </w:pPr>
      <w:r>
        <w:rPr>
          <w:sz w:val="28"/>
          <w:szCs w:val="28"/>
        </w:rPr>
        <w:t>Тюрина Ю.Г.</w:t>
      </w:r>
    </w:p>
    <w:p w:rsidR="00041CB3" w:rsidRDefault="00041CB3">
      <w:pPr>
        <w:rPr>
          <w:b/>
          <w:bCs/>
          <w:caps/>
          <w:sz w:val="28"/>
          <w:szCs w:val="28"/>
        </w:rPr>
      </w:pPr>
    </w:p>
    <w:p w:rsidR="00041CB3" w:rsidRDefault="008D41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БЮДЖЕТНО-НАЛОГОВЫЕ РИСКИ</w:t>
      </w:r>
    </w:p>
    <w:p w:rsidR="00041CB3" w:rsidRDefault="008D41BC">
      <w:pPr>
        <w:pStyle w:val="18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041CB3" w:rsidRDefault="00041CB3">
      <w:pPr>
        <w:pStyle w:val="18"/>
        <w:spacing w:before="120"/>
        <w:ind w:right="-142"/>
        <w:jc w:val="center"/>
        <w:rPr>
          <w:b/>
          <w:bCs/>
          <w:sz w:val="28"/>
          <w:szCs w:val="28"/>
        </w:rPr>
      </w:pPr>
    </w:p>
    <w:p w:rsidR="00041CB3" w:rsidRDefault="008D41BC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41CB3" w:rsidRDefault="008D41BC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ОП «Экономика и финансы»,</w:t>
      </w:r>
    </w:p>
    <w:p w:rsidR="00041CB3" w:rsidRDefault="008D41BC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финансы»</w:t>
      </w:r>
    </w:p>
    <w:p w:rsidR="00041CB3" w:rsidRDefault="00041CB3">
      <w:pPr>
        <w:spacing w:line="360" w:lineRule="auto"/>
        <w:rPr>
          <w:i/>
          <w:iCs/>
          <w:sz w:val="28"/>
          <w:szCs w:val="28"/>
        </w:rPr>
      </w:pPr>
    </w:p>
    <w:p w:rsidR="00041CB3" w:rsidRDefault="00041CB3">
      <w:pPr>
        <w:spacing w:line="360" w:lineRule="auto"/>
        <w:rPr>
          <w:i/>
          <w:iCs/>
          <w:sz w:val="28"/>
          <w:szCs w:val="28"/>
        </w:rPr>
      </w:pPr>
    </w:p>
    <w:p w:rsidR="00041CB3" w:rsidRDefault="008D41BC">
      <w:pPr>
        <w:jc w:val="center"/>
      </w:pPr>
      <w:bookmarkStart w:id="0" w:name="_GoBack"/>
      <w:r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:rsidR="00041CB3" w:rsidRDefault="008D41BC">
      <w:pPr>
        <w:jc w:val="center"/>
      </w:pPr>
      <w:r>
        <w:rPr>
          <w:rFonts w:eastAsia="Calibri"/>
          <w:i/>
          <w:sz w:val="24"/>
          <w:szCs w:val="24"/>
        </w:rPr>
        <w:t xml:space="preserve">(протокол № </w:t>
      </w:r>
      <w:r w:rsidR="0021469C">
        <w:rPr>
          <w:rFonts w:eastAsia="Calibri"/>
          <w:i/>
          <w:sz w:val="24"/>
          <w:szCs w:val="24"/>
        </w:rPr>
        <w:t>45 от «21</w:t>
      </w:r>
      <w:r>
        <w:rPr>
          <w:rFonts w:eastAsia="Calibri"/>
          <w:i/>
          <w:sz w:val="24"/>
          <w:szCs w:val="24"/>
        </w:rPr>
        <w:t>»</w:t>
      </w:r>
      <w:r w:rsidR="0021469C">
        <w:rPr>
          <w:rFonts w:eastAsia="Calibri"/>
          <w:i/>
          <w:sz w:val="24"/>
          <w:szCs w:val="24"/>
        </w:rPr>
        <w:t xml:space="preserve"> мая</w:t>
      </w:r>
      <w:r>
        <w:rPr>
          <w:rFonts w:eastAsia="Calibri"/>
          <w:i/>
          <w:sz w:val="24"/>
          <w:szCs w:val="24"/>
        </w:rPr>
        <w:t xml:space="preserve"> 2024 г.)</w:t>
      </w:r>
    </w:p>
    <w:p w:rsidR="00041CB3" w:rsidRDefault="00041CB3">
      <w:pPr>
        <w:jc w:val="center"/>
        <w:rPr>
          <w:rFonts w:eastAsia="Calibri"/>
          <w:b/>
          <w:sz w:val="24"/>
          <w:szCs w:val="24"/>
          <w:highlight w:val="yellow"/>
        </w:rPr>
      </w:pPr>
    </w:p>
    <w:p w:rsidR="00041CB3" w:rsidRDefault="008D41BC">
      <w:pPr>
        <w:jc w:val="center"/>
      </w:pPr>
      <w:r>
        <w:rPr>
          <w:rFonts w:eastAsia="Calibri"/>
          <w:i/>
          <w:sz w:val="24"/>
          <w:szCs w:val="24"/>
        </w:rPr>
        <w:t xml:space="preserve">Одобрено Департаментом общественных финансов Финансового факультета </w:t>
      </w:r>
    </w:p>
    <w:p w:rsidR="00041CB3" w:rsidRDefault="008D41BC">
      <w:pPr>
        <w:jc w:val="center"/>
      </w:pPr>
      <w:r>
        <w:rPr>
          <w:rFonts w:eastAsia="Calibri"/>
          <w:i/>
          <w:sz w:val="24"/>
          <w:szCs w:val="24"/>
        </w:rPr>
        <w:t>(протокол №</w:t>
      </w:r>
      <w:r w:rsidR="0021469C">
        <w:rPr>
          <w:rFonts w:eastAsia="Calibri"/>
          <w:i/>
          <w:sz w:val="24"/>
          <w:szCs w:val="24"/>
        </w:rPr>
        <w:t xml:space="preserve"> 10</w:t>
      </w:r>
      <w:r>
        <w:rPr>
          <w:rFonts w:eastAsia="Calibri"/>
          <w:i/>
          <w:sz w:val="24"/>
          <w:szCs w:val="24"/>
        </w:rPr>
        <w:t xml:space="preserve"> от «</w:t>
      </w:r>
      <w:r w:rsidR="0021469C">
        <w:rPr>
          <w:rFonts w:eastAsia="Calibri"/>
          <w:i/>
          <w:sz w:val="24"/>
          <w:szCs w:val="24"/>
        </w:rPr>
        <w:t xml:space="preserve">25» апреля </w:t>
      </w:r>
      <w:r>
        <w:rPr>
          <w:rFonts w:eastAsia="Calibri"/>
          <w:i/>
          <w:sz w:val="24"/>
          <w:szCs w:val="24"/>
        </w:rPr>
        <w:t>2024 г.)</w:t>
      </w:r>
    </w:p>
    <w:bookmarkEnd w:id="0"/>
    <w:p w:rsidR="00041CB3" w:rsidRDefault="00041CB3">
      <w:pPr>
        <w:spacing w:line="360" w:lineRule="auto"/>
        <w:rPr>
          <w:i/>
          <w:iCs/>
          <w:sz w:val="28"/>
          <w:szCs w:val="28"/>
        </w:rPr>
      </w:pPr>
    </w:p>
    <w:p w:rsidR="00041CB3" w:rsidRDefault="00041CB3">
      <w:pPr>
        <w:spacing w:line="360" w:lineRule="auto"/>
        <w:jc w:val="center"/>
        <w:rPr>
          <w:sz w:val="28"/>
          <w:szCs w:val="28"/>
        </w:rPr>
      </w:pPr>
    </w:p>
    <w:p w:rsidR="00041CB3" w:rsidRDefault="00041CB3">
      <w:pPr>
        <w:spacing w:line="360" w:lineRule="auto"/>
        <w:jc w:val="center"/>
        <w:rPr>
          <w:sz w:val="28"/>
          <w:szCs w:val="28"/>
        </w:rPr>
      </w:pPr>
    </w:p>
    <w:p w:rsidR="00041CB3" w:rsidRDefault="008D41B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41CB3" w:rsidRDefault="00041CB3">
      <w:pPr>
        <w:spacing w:line="360" w:lineRule="auto"/>
        <w:jc w:val="center"/>
        <w:rPr>
          <w:b/>
          <w:sz w:val="28"/>
          <w:szCs w:val="28"/>
        </w:rPr>
      </w:pPr>
    </w:p>
    <w:p w:rsidR="00041CB3" w:rsidRDefault="00041CB3">
      <w:pPr>
        <w:spacing w:line="360" w:lineRule="auto"/>
        <w:jc w:val="center"/>
        <w:rPr>
          <w:b/>
          <w:sz w:val="28"/>
          <w:szCs w:val="28"/>
        </w:rPr>
      </w:pPr>
    </w:p>
    <w:p w:rsidR="00041CB3" w:rsidRDefault="00041CB3">
      <w:pPr>
        <w:pStyle w:val="19"/>
        <w:rPr>
          <w:rFonts w:eastAsiaTheme="minorEastAsia"/>
        </w:rPr>
      </w:pPr>
    </w:p>
    <w:bookmarkStart w:id="1" w:name="_Toc154661298" w:displacedByCustomXml="next"/>
    <w:bookmarkStart w:id="2" w:name="_Toc168054985" w:displacedByCustomXml="next"/>
    <w:sdt>
      <w:sdtPr>
        <w:id w:val="-448001762"/>
        <w:docPartObj>
          <w:docPartGallery w:val="Table of Contents"/>
          <w:docPartUnique/>
        </w:docPartObj>
      </w:sdtPr>
      <w:sdtEndPr/>
      <w:sdtContent>
        <w:p w:rsidR="00041CB3" w:rsidRDefault="008D41BC" w:rsidP="00C345CD">
          <w:pPr>
            <w:pStyle w:val="afb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C345CD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  <w:bookmarkEnd w:id="2"/>
          <w:bookmarkEnd w:id="1"/>
        </w:p>
        <w:p w:rsidR="00C345CD" w:rsidRPr="00C345CD" w:rsidRDefault="00C345CD" w:rsidP="00C345CD"/>
        <w:p w:rsidR="00E15087" w:rsidRPr="00C345CD" w:rsidRDefault="008D41BC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C345CD">
            <w:rPr>
              <w:sz w:val="24"/>
              <w:szCs w:val="24"/>
            </w:rPr>
            <w:fldChar w:fldCharType="begin"/>
          </w:r>
          <w:r w:rsidRPr="00C345CD">
            <w:rPr>
              <w:webHidden/>
              <w:sz w:val="24"/>
              <w:szCs w:val="24"/>
            </w:rPr>
            <w:instrText>TOC \z \o "1-3" \u \h</w:instrText>
          </w:r>
          <w:r w:rsidRPr="00C345CD">
            <w:rPr>
              <w:sz w:val="24"/>
              <w:szCs w:val="24"/>
            </w:rPr>
            <w:fldChar w:fldCharType="separate"/>
          </w:r>
          <w:hyperlink w:anchor="_Toc168054986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1. Наименование дисциплины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_Toc168054986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3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87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_Toc168054987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3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88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_Toc168054988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5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89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_Toc168054989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5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0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_Toc168054990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6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1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5.1. Содержание дисциплины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_Toc168054991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6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2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5.2. Учебно-тематический план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_Toc168054992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8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3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_Toc168054993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9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4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_Toc168054994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12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5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_Toc168054995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12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6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_Toc168054996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13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7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_Toc168054997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16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8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_Toc168054998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21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4999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_Toc168054999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23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5000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_Toc168055000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23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15087" w:rsidRPr="00C345CD" w:rsidRDefault="00D74561" w:rsidP="00C345CD">
          <w:pPr>
            <w:pStyle w:val="19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8055001" w:history="1">
            <w:r w:rsidR="00E15087" w:rsidRPr="00C345CD">
              <w:rPr>
                <w:rStyle w:val="aff2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15087" w:rsidRPr="00C345CD">
              <w:rPr>
                <w:noProof/>
                <w:webHidden/>
                <w:sz w:val="24"/>
                <w:szCs w:val="24"/>
              </w:rPr>
              <w:tab/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begin"/>
            </w:r>
            <w:r w:rsidR="00E15087" w:rsidRPr="00C345CD">
              <w:rPr>
                <w:noProof/>
                <w:webHidden/>
                <w:sz w:val="24"/>
                <w:szCs w:val="24"/>
              </w:rPr>
              <w:instrText xml:space="preserve"> PAGEREF _Toc168055001 \h </w:instrText>
            </w:r>
            <w:r w:rsidR="00E15087" w:rsidRPr="00C345CD">
              <w:rPr>
                <w:noProof/>
                <w:webHidden/>
                <w:sz w:val="24"/>
                <w:szCs w:val="24"/>
              </w:rPr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15087" w:rsidRPr="00C345CD">
              <w:rPr>
                <w:noProof/>
                <w:webHidden/>
                <w:sz w:val="24"/>
                <w:szCs w:val="24"/>
              </w:rPr>
              <w:t>24</w:t>
            </w:r>
            <w:r w:rsidR="00E15087" w:rsidRPr="00C345C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CB3" w:rsidRDefault="008D41BC" w:rsidP="00C345CD">
          <w:pPr>
            <w:pStyle w:val="afb"/>
          </w:pPr>
          <w:r w:rsidRPr="00C345CD">
            <w:rPr>
              <w:sz w:val="24"/>
              <w:szCs w:val="24"/>
            </w:rPr>
            <w:fldChar w:fldCharType="end"/>
          </w:r>
        </w:p>
      </w:sdtContent>
    </w:sdt>
    <w:p w:rsidR="00041CB3" w:rsidRDefault="00041CB3"/>
    <w:p w:rsidR="00041CB3" w:rsidRDefault="00041CB3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</w:p>
    <w:p w:rsidR="00041CB3" w:rsidRDefault="00041CB3"/>
    <w:p w:rsidR="00041CB3" w:rsidRDefault="00041CB3">
      <w:pPr>
        <w:widowControl/>
        <w:spacing w:after="200" w:line="276" w:lineRule="auto"/>
        <w:rPr>
          <w:b/>
          <w:sz w:val="28"/>
          <w:szCs w:val="28"/>
        </w:rPr>
      </w:pPr>
    </w:p>
    <w:p w:rsidR="00041CB3" w:rsidRDefault="008D41BC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041CB3" w:rsidRDefault="008D41B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7763914"/>
      <w:bookmarkStart w:id="4" w:name="_Toc16805498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41CB3" w:rsidRDefault="008D41BC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Бюджетно-налоговые риски</w:t>
      </w:r>
      <w:r>
        <w:rPr>
          <w:rFonts w:eastAsia="Calibri"/>
          <w:sz w:val="28"/>
          <w:szCs w:val="28"/>
        </w:rPr>
        <w:t>».</w:t>
      </w:r>
    </w:p>
    <w:p w:rsidR="00041CB3" w:rsidRDefault="008D41B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37763915"/>
      <w:bookmarkStart w:id="6" w:name="_Toc168054987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041CB3" w:rsidRDefault="008D41BC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«Бюджетно-налоговые риски» обучающийся должен обладать следующими компетенциями:</w:t>
      </w:r>
    </w:p>
    <w:p w:rsidR="00041CB3" w:rsidRDefault="008D41BC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Таблица 1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661"/>
        <w:gridCol w:w="2396"/>
        <w:gridCol w:w="2668"/>
        <w:gridCol w:w="3470"/>
      </w:tblGrid>
      <w:tr w:rsidR="00041CB3" w:rsidTr="00F37718">
        <w:tc>
          <w:tcPr>
            <w:tcW w:w="1555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8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1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041CB3" w:rsidTr="00F37718">
        <w:tc>
          <w:tcPr>
            <w:tcW w:w="1555" w:type="dxa"/>
            <w:vMerge w:val="restart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410" w:type="dxa"/>
            <w:vMerge w:val="restart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698" w:type="dxa"/>
          </w:tcPr>
          <w:p w:rsidR="00041CB3" w:rsidRDefault="008D41BC" w:rsidP="00F37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541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критерии классификации бюджетно-налоговых рисков, подходы риск-ориентированного управления ими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идентифицировать и систематизировать по классификационным признакам бюджетно-налоговые риски, на их основе уметь раскрывать специфику риск-ориентированного управления финансами государственного сектора</w:t>
            </w:r>
          </w:p>
        </w:tc>
      </w:tr>
      <w:tr w:rsidR="00041CB3" w:rsidTr="00F37718">
        <w:tc>
          <w:tcPr>
            <w:tcW w:w="1555" w:type="dxa"/>
            <w:vMerge/>
          </w:tcPr>
          <w:p w:rsidR="00041CB3" w:rsidRDefault="00041CB3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41CB3" w:rsidRDefault="00041CB3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8" w:type="dxa"/>
          </w:tcPr>
          <w:p w:rsidR="00041CB3" w:rsidRDefault="008D41BC" w:rsidP="00F37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541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финансово-экономические показатели на макро-, мезо- и микроуровнях, применяемые в процессе идентификации, оценки и управления бюджетно-налоговыми рисками 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рассчитывать финансово-экономические показатели на макро-, мезо- и микроуровнях, применяемые в процессе идентификации, оценки и управления бюджетно-налоговыми рисками</w:t>
            </w:r>
          </w:p>
        </w:tc>
      </w:tr>
      <w:tr w:rsidR="00041CB3" w:rsidTr="00F37718">
        <w:tc>
          <w:tcPr>
            <w:tcW w:w="1555" w:type="dxa"/>
            <w:vMerge w:val="restart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410" w:type="dxa"/>
            <w:vMerge w:val="restart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>
              <w:rPr>
                <w:sz w:val="24"/>
                <w:szCs w:val="24"/>
              </w:rPr>
              <w:lastRenderedPageBreak/>
              <w:t>финансово-экономических условиях</w:t>
            </w:r>
          </w:p>
        </w:tc>
        <w:tc>
          <w:tcPr>
            <w:tcW w:w="2698" w:type="dxa"/>
          </w:tcPr>
          <w:p w:rsidR="00041CB3" w:rsidRDefault="008D41BC" w:rsidP="00F37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</w:t>
            </w:r>
            <w:r>
              <w:rPr>
                <w:sz w:val="24"/>
                <w:szCs w:val="24"/>
              </w:rPr>
              <w:lastRenderedPageBreak/>
              <w:t>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541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и методы проведения анализа деятельности органов </w:t>
            </w:r>
            <w:r>
              <w:rPr>
                <w:sz w:val="24"/>
                <w:szCs w:val="24"/>
              </w:rPr>
              <w:lastRenderedPageBreak/>
              <w:t>государственной власти, органов местного самоуправления, органов управления финансами общественного сектора в контексте идентификации и управления бюджетно-налоговыми рисками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оперативные, тактические и стратегические управленческие решения в области финансов общественного сектора, принимаемые органами государственной власти, органами местного самоуправления, органами управления финансами общественного сектора в контексте идентификации и управления бюджетно-налоговыми рисками</w:t>
            </w:r>
          </w:p>
        </w:tc>
      </w:tr>
      <w:tr w:rsidR="00041CB3" w:rsidTr="00F37718">
        <w:tc>
          <w:tcPr>
            <w:tcW w:w="1555" w:type="dxa"/>
            <w:vMerge/>
          </w:tcPr>
          <w:p w:rsidR="00041CB3" w:rsidRDefault="00041CB3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41CB3" w:rsidRDefault="00041CB3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8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1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решения профессиональных задач в области оценки и управления бюджетно-налоговыми рисками;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предлагать варианты решения профессиональных задач в области оценки и управления бюджетно-налоговыми рисками в условиях неопределенности</w:t>
            </w:r>
          </w:p>
        </w:tc>
      </w:tr>
      <w:tr w:rsidR="00041CB3" w:rsidTr="00F37718">
        <w:tc>
          <w:tcPr>
            <w:tcW w:w="1555" w:type="dxa"/>
            <w:vMerge w:val="restart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410" w:type="dxa"/>
            <w:vMerge w:val="restart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698" w:type="dxa"/>
          </w:tcPr>
          <w:p w:rsidR="00041CB3" w:rsidRDefault="008D41BC" w:rsidP="00F37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541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Знать: показатели, обоснованно и достоверно характеризующие основные параметры формирования и исполнения бюджетов бюджетной системы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Уметь: выявлять бюджетно-налоговые риски при оценке показателей, обоснованно и достоверно характеризующих основные параметры формирования и исполнения бюджетов бюджетной системы</w:t>
            </w:r>
          </w:p>
        </w:tc>
      </w:tr>
      <w:tr w:rsidR="00041CB3" w:rsidTr="00F37718">
        <w:tc>
          <w:tcPr>
            <w:tcW w:w="1555" w:type="dxa"/>
            <w:vMerge/>
          </w:tcPr>
          <w:p w:rsidR="00041CB3" w:rsidRDefault="00041CB3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41CB3" w:rsidRDefault="00041CB3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8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Применяет современные методы сбора, обработки и </w:t>
            </w:r>
            <w:r>
              <w:rPr>
                <w:sz w:val="24"/>
                <w:szCs w:val="24"/>
              </w:rPr>
              <w:lastRenderedPageBreak/>
              <w:t>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541" w:type="dxa"/>
          </w:tcPr>
          <w:p w:rsidR="00041CB3" w:rsidRDefault="008D41BC" w:rsidP="00F37718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lastRenderedPageBreak/>
              <w:t xml:space="preserve">Знать: современные методы сбора, обработки и анализа информации, необходимой для </w:t>
            </w:r>
            <w:r>
              <w:rPr>
                <w:iCs/>
                <w:color w:val="000000" w:themeColor="text1"/>
                <w:sz w:val="24"/>
                <w:szCs w:val="24"/>
              </w:rPr>
              <w:lastRenderedPageBreak/>
              <w:t xml:space="preserve">расчета и интерпретации основных бюджетных показателей в части идентификации и оценки бюджетно-налоговых рисков 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Уметь: применять методы сбора, обработки и анализа информации, необходимой для расчета и интерпретации основных бюджетных показателей в части идентификации и оценки бюджетно-налоговых рисков</w:t>
            </w:r>
          </w:p>
          <w:p w:rsidR="00041CB3" w:rsidRDefault="008D41BC" w:rsidP="00F37718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для принятия решений по управлению ими</w:t>
            </w:r>
          </w:p>
        </w:tc>
      </w:tr>
    </w:tbl>
    <w:p w:rsidR="00041CB3" w:rsidRDefault="00041CB3">
      <w:pPr>
        <w:tabs>
          <w:tab w:val="left" w:pos="0"/>
        </w:tabs>
        <w:contextualSpacing/>
        <w:rPr>
          <w:sz w:val="28"/>
          <w:szCs w:val="28"/>
        </w:rPr>
      </w:pPr>
    </w:p>
    <w:p w:rsidR="00041CB3" w:rsidRDefault="008D41B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Hlk137677761"/>
      <w:bookmarkStart w:id="8" w:name="_Toc137763916"/>
      <w:bookmarkStart w:id="9" w:name="_Toc16805498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:rsidR="00041CB3" w:rsidRDefault="008D41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«Бюджетно-налоговые риски» входит в цикл обязательных профильных дисциплин для обучающихся по направлению подготовки 38.03.01 «Экономика», ОП «Экономика и финансы» Профиль «</w:t>
      </w:r>
      <w:bookmarkStart w:id="10" w:name="_Hlk162186239"/>
      <w:r>
        <w:rPr>
          <w:sz w:val="28"/>
          <w:szCs w:val="28"/>
        </w:rPr>
        <w:t>Государственные и муниципальные финансы</w:t>
      </w:r>
      <w:bookmarkEnd w:id="10"/>
      <w:r>
        <w:rPr>
          <w:sz w:val="28"/>
          <w:szCs w:val="28"/>
        </w:rPr>
        <w:t>».</w:t>
      </w:r>
    </w:p>
    <w:p w:rsidR="00041CB3" w:rsidRDefault="008D41B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37763917"/>
      <w:bookmarkStart w:id="12" w:name="_Toc168054989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41CB3" w:rsidRDefault="008D41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6"/>
        <w:gridCol w:w="2548"/>
        <w:gridCol w:w="2411"/>
      </w:tblGrid>
      <w:tr w:rsidR="00041CB3">
        <w:trPr>
          <w:trHeight w:val="81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041CB3">
        <w:trPr>
          <w:trHeight w:val="26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</w:tr>
      <w:tr w:rsidR="00041CB3">
        <w:trPr>
          <w:trHeight w:val="26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041CB3">
        <w:trPr>
          <w:trHeight w:val="26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041CB3">
        <w:trPr>
          <w:trHeight w:val="26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041CB3">
        <w:trPr>
          <w:trHeight w:val="26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041CB3">
        <w:trPr>
          <w:trHeight w:val="288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Эссе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Эссе</w:t>
            </w:r>
          </w:p>
        </w:tc>
      </w:tr>
      <w:tr w:rsidR="00041CB3">
        <w:trPr>
          <w:trHeight w:val="252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041CB3" w:rsidRDefault="00041CB3">
      <w:pPr>
        <w:rPr>
          <w:sz w:val="24"/>
          <w:szCs w:val="24"/>
        </w:rPr>
      </w:pPr>
    </w:p>
    <w:p w:rsidR="00041CB3" w:rsidRDefault="008D41B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37763918"/>
      <w:bookmarkStart w:id="14" w:name="_Toc16805499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</w:t>
      </w:r>
      <w:bookmarkStart w:id="15" w:name="_Toc28560383"/>
      <w:bookmarkStart w:id="16" w:name="_Toc92533359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  <w:bookmarkEnd w:id="16"/>
    </w:p>
    <w:p w:rsidR="00041CB3" w:rsidRDefault="008D41B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37763919"/>
      <w:bookmarkStart w:id="18" w:name="_Toc168054991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7"/>
      <w:bookmarkEnd w:id="18"/>
    </w:p>
    <w:p w:rsidR="00041CB3" w:rsidRDefault="008D41BC">
      <w:pPr>
        <w:pStyle w:val="afc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Риски в системе экономических отношений.</w:t>
      </w:r>
    </w:p>
    <w:p w:rsidR="00041CB3" w:rsidRDefault="008D4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природа риска. Теории управления рисками. Основные научные концепции риска. Классификация рисков. Факторы формирования рисков.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Необходимость выявления, анализа и управления рисками. Области рисков. </w:t>
      </w:r>
      <w:r>
        <w:rPr>
          <w:bCs/>
          <w:sz w:val="28"/>
          <w:szCs w:val="28"/>
        </w:rPr>
        <w:t xml:space="preserve">Виды финансовых рисков государственного сектора, подходы к оценке экономических и социальных последствий. 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Специфика внешних и внутренних угроз, неопределенность в государственном секторе экономики. </w:t>
      </w:r>
    </w:p>
    <w:p w:rsidR="00041CB3" w:rsidRDefault="008D4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рисками, ее содержание и элементы. Информационное обеспечение и методика выявления риска. Инструменты и подходы, используемые при управлении рисками.</w:t>
      </w:r>
    </w:p>
    <w:p w:rsidR="00041CB3" w:rsidRDefault="00041CB3">
      <w:pPr>
        <w:pStyle w:val="afc"/>
        <w:ind w:firstLine="709"/>
        <w:jc w:val="both"/>
        <w:rPr>
          <w:b/>
          <w:sz w:val="28"/>
          <w:szCs w:val="28"/>
        </w:rPr>
      </w:pPr>
    </w:p>
    <w:p w:rsidR="00041CB3" w:rsidRDefault="008D41BC">
      <w:pPr>
        <w:pStyle w:val="afc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Бюджетно-налоговые риски как разновидность рисков.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Бюджетно-налоговые риски, понятие, классификация и систематизация по однородным признакам. 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Специфика бюджетно-налоговых рисков и их управления.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Факторы, влияющие на возникновение бюджетно-налоговых рисков.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Подходы к управлению бюджетно-налоговых рисков.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Источники информации для идентификации и управления бюджетно-налоговыми рисками. Требования, предъявляемые к информации. Критерии выбора информации.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Значимость и специфика риск-ориентированного подхода в управлении финансами государственного сектора. Индикаторы риск-ориентированного управления финансами государственного сектора.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Риск-ориентированный подход в управлении бюджетно-налоговыми рисками: мировой опыт и лучшие зарубежные практики.</w:t>
      </w:r>
    </w:p>
    <w:p w:rsidR="00041CB3" w:rsidRDefault="00041CB3">
      <w:pPr>
        <w:pStyle w:val="afc"/>
        <w:ind w:firstLine="709"/>
        <w:jc w:val="both"/>
        <w:rPr>
          <w:bCs/>
          <w:sz w:val="28"/>
          <w:szCs w:val="28"/>
        </w:rPr>
      </w:pPr>
    </w:p>
    <w:p w:rsidR="00041CB3" w:rsidRDefault="008D41BC">
      <w:pPr>
        <w:pStyle w:val="afc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Подходы к идентификации и управлению бюджетно-налоговыми рисками.</w:t>
      </w:r>
    </w:p>
    <w:p w:rsidR="00041CB3" w:rsidRDefault="008D41BC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методов идентификации бюджетно-налоговых рисков. Формализованные методы идентификации. Интуитивные методы идентификации.</w:t>
      </w:r>
    </w:p>
    <w:p w:rsidR="00041CB3" w:rsidRDefault="008D41BC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идентификации фискальных рисков: сканирование внутренней и внешней среды, SWOT-анализ, опросы, стресс-тестирование. </w:t>
      </w:r>
    </w:p>
    <w:p w:rsidR="00041CB3" w:rsidRDefault="008D41BC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Риск-матрицы как инструмент анализа фискальных рисков. </w:t>
      </w:r>
    </w:p>
    <w:p w:rsidR="00041CB3" w:rsidRDefault="008D41BC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идентификации бюджетно-налоговых рисков: оценка состояния бюджета в базовом или текущем периоде; определение источников бюджетных рисков как набора макроэкономических шоков и условных обязательств; выявление и количественная оценка возможных последствий наступления шоков, реализации условных обязательств в кратко-, средне- и долгосрочной перспективах; оценка </w:t>
      </w:r>
      <w:r>
        <w:rPr>
          <w:sz w:val="28"/>
          <w:szCs w:val="28"/>
        </w:rPr>
        <w:lastRenderedPageBreak/>
        <w:t xml:space="preserve">«запаса прочности»; формирование и актуализация параметров долгосрочного бюджетного прогноза. </w:t>
      </w:r>
    </w:p>
    <w:p w:rsidR="00041CB3" w:rsidRDefault="008D41BC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ISO 31000 как основа для организации управления фискальными (бюджетными) рисками. Алгоритм управления бюджетно-налоговыми рисками в соответствии со стандартом ISO 31000: установление риск-контекста; идентификация риска; анализ риска; оценка риска; устранение риска; обсуждение и консультации; мониторинг и обзор.</w:t>
      </w:r>
    </w:p>
    <w:p w:rsidR="00041CB3" w:rsidRDefault="00041CB3">
      <w:pPr>
        <w:pStyle w:val="afc"/>
        <w:ind w:firstLine="709"/>
        <w:rPr>
          <w:bCs/>
          <w:sz w:val="28"/>
          <w:szCs w:val="28"/>
        </w:rPr>
      </w:pPr>
    </w:p>
    <w:p w:rsidR="00041CB3" w:rsidRDefault="008D41BC">
      <w:pPr>
        <w:pStyle w:val="afc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4. Оценка бюджетно-налоговых рисков.</w:t>
      </w:r>
    </w:p>
    <w:p w:rsidR="00041CB3" w:rsidRDefault="008D41BC">
      <w:pPr>
        <w:pStyle w:val="afc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Качественный и количественный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этапы оценки бюджетно-налоговых рисков. Качественный анализ бюджетно-налоговых рисков: выявление источников и причин риска, возможных видов риска. Внешние и внутренние факторы, влияющие на уровень риска. Количественные методы анализа и оценки бюджетно-налоговых рисков. Оценка вероятности наступления неблагоприятных событий и оценка величины ущерба. Определение размеров отдельных рисков, производимое математическими и статистическими методами. Определение вероятности возникновения потерь на основе статистических данных предшествующего периода и установление потенциальных областей (зон) риска, коэффициента риска.</w:t>
      </w:r>
    </w:p>
    <w:p w:rsidR="00041CB3" w:rsidRDefault="008D41BC">
      <w:pPr>
        <w:pStyle w:val="afc"/>
        <w:ind w:firstLine="709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Индикаторы бюджетно-налоговых рисков. Совпадающие индикаторы, косвенно влияющие на наступление рискового события. Индикаторы эффективного управления. Причинно-следственные индикаторы. Индикаторы объема. Взаимосвязь вероятности и степень важности риска. </w:t>
      </w:r>
      <w:r>
        <w:rPr>
          <w:bCs/>
          <w:iCs/>
          <w:sz w:val="28"/>
          <w:szCs w:val="28"/>
        </w:rPr>
        <w:t xml:space="preserve">Описательные индикаторы, индикаторы исполнения и индикаторы контроля. </w:t>
      </w:r>
    </w:p>
    <w:p w:rsidR="00041CB3" w:rsidRDefault="008D41BC">
      <w:pPr>
        <w:pStyle w:val="afc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Ведение реестра бюджетно-налоговых рисков.</w:t>
      </w:r>
    </w:p>
    <w:p w:rsidR="00041CB3" w:rsidRDefault="00041CB3">
      <w:pPr>
        <w:pStyle w:val="afc"/>
        <w:ind w:firstLine="709"/>
        <w:rPr>
          <w:b/>
          <w:bCs/>
          <w:sz w:val="28"/>
          <w:szCs w:val="28"/>
        </w:rPr>
      </w:pPr>
    </w:p>
    <w:p w:rsidR="00041CB3" w:rsidRDefault="008D41BC">
      <w:pPr>
        <w:pStyle w:val="afc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5. Управление бюджетно-налоговыми рисками.</w:t>
      </w:r>
    </w:p>
    <w:p w:rsidR="00041CB3" w:rsidRDefault="008D41B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Институциональные механизмы управления бюджетно-налоговыми рисками: установление политики управления рисками; разделение ответственности; назначение ответственного руководителя по риск-менеджменту.</w:t>
      </w:r>
    </w:p>
    <w:p w:rsidR="00041CB3" w:rsidRDefault="008D41BC">
      <w:pPr>
        <w:pStyle w:val="afc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Зарубежная практика управления бюджетно-налоговыми рисками в государственном секторе: определение источников рисков и оценка их величины и вероятности реализации на основании ретроспективного анализа макроэкономических показателей и данных финансовых рынков; оценка возможных мер смягчения последствий рисков для бюджета публично-правового образования; определение необходимости принятия и финансирования рисков, последствия которых не подлежат смягчению; определение дополнительных бюджетных расходов для покрытия рисков. </w:t>
      </w:r>
    </w:p>
    <w:p w:rsidR="00041CB3" w:rsidRDefault="008D41BC">
      <w:pPr>
        <w:pStyle w:val="afc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Характеристика инструментов управления бюджетно-налоговыми рисками. Направленный контроль, «потолки бюджетных расходов» (предельные лимиты) как инструмент управления эндогенными рисками. Косвенный контроль в управлении рисками, связанными с деятельностью партнеров из частного сектора. Передача рисков (</w:t>
      </w:r>
      <w:r>
        <w:rPr>
          <w:color w:val="000000" w:themeColor="text1"/>
          <w:sz w:val="28"/>
          <w:szCs w:val="28"/>
          <w:lang w:val="en-US"/>
        </w:rPr>
        <w:t>risk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transfer</w:t>
      </w:r>
      <w:r>
        <w:rPr>
          <w:color w:val="000000" w:themeColor="text1"/>
          <w:sz w:val="28"/>
          <w:szCs w:val="28"/>
        </w:rPr>
        <w:t>), разделение рисков (</w:t>
      </w:r>
      <w:r>
        <w:rPr>
          <w:color w:val="000000" w:themeColor="text1"/>
          <w:sz w:val="28"/>
          <w:szCs w:val="28"/>
          <w:lang w:val="en-US"/>
        </w:rPr>
        <w:t>risk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sharing</w:t>
      </w:r>
      <w:r>
        <w:rPr>
          <w:color w:val="000000" w:themeColor="text1"/>
          <w:sz w:val="28"/>
          <w:szCs w:val="28"/>
        </w:rPr>
        <w:t>). Заведомое обеспечение потерь от рисков на основе формирования бюджетных резервов и суверенных фондов.</w:t>
      </w:r>
    </w:p>
    <w:p w:rsidR="00041CB3" w:rsidRDefault="008D41B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Риск-ориентированный подход в управлении </w:t>
      </w:r>
      <w:bookmarkStart w:id="19" w:name="_Hlk162178516"/>
      <w:r>
        <w:rPr>
          <w:bCs/>
          <w:sz w:val="28"/>
          <w:szCs w:val="28"/>
        </w:rPr>
        <w:t>бюджетно-налоговыми рисками</w:t>
      </w:r>
      <w:bookmarkEnd w:id="19"/>
      <w:r>
        <w:rPr>
          <w:bCs/>
          <w:sz w:val="28"/>
          <w:szCs w:val="28"/>
        </w:rPr>
        <w:t xml:space="preserve">. </w:t>
      </w:r>
      <w:bookmarkStart w:id="20" w:name="_Hlk137312327"/>
      <w:r>
        <w:rPr>
          <w:bCs/>
          <w:sz w:val="28"/>
          <w:szCs w:val="28"/>
        </w:rPr>
        <w:t xml:space="preserve">Критерии риск-ориентированного подхода в реализации бюджетно-налоговой </w:t>
      </w:r>
      <w:r>
        <w:rPr>
          <w:bCs/>
          <w:sz w:val="28"/>
          <w:szCs w:val="28"/>
        </w:rPr>
        <w:lastRenderedPageBreak/>
        <w:t xml:space="preserve">политики государства. </w:t>
      </w:r>
      <w:bookmarkEnd w:id="20"/>
      <w:r>
        <w:rPr>
          <w:bCs/>
          <w:sz w:val="28"/>
          <w:szCs w:val="28"/>
        </w:rPr>
        <w:t>Построение р</w:t>
      </w:r>
      <w:r>
        <w:rPr>
          <w:bCs/>
          <w:color w:val="000000"/>
          <w:sz w:val="28"/>
          <w:szCs w:val="28"/>
        </w:rPr>
        <w:t xml:space="preserve">иск-матрицы как инструмента анализа бюджетно-налоговых рисков. </w:t>
      </w:r>
      <w:r>
        <w:rPr>
          <w:bCs/>
          <w:sz w:val="28"/>
          <w:szCs w:val="28"/>
        </w:rPr>
        <w:t>Риск-ориентированное управление в организации и проведении государственного финансового контроля. Цифровизация и автоматизация в процессе осуществления риск-ориентированного управления бюджетно-налоговыми рисками государства.</w:t>
      </w:r>
      <w:bookmarkStart w:id="21" w:name="_Hlk137523598"/>
      <w:bookmarkEnd w:id="21"/>
    </w:p>
    <w:p w:rsidR="00041CB3" w:rsidRDefault="00041CB3"/>
    <w:p w:rsidR="00041CB3" w:rsidRDefault="00041CB3"/>
    <w:p w:rsidR="00041CB3" w:rsidRDefault="008D41BC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37763920"/>
      <w:bookmarkStart w:id="23" w:name="_Toc168054992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2"/>
      <w:bookmarkEnd w:id="23"/>
    </w:p>
    <w:p w:rsidR="00041CB3" w:rsidRDefault="008D41BC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>Профиль: «Государственные и муниципальные финансы»</w:t>
      </w:r>
    </w:p>
    <w:p w:rsidR="00041CB3" w:rsidRDefault="008D41B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Таблица 3.1</w:t>
      </w:r>
    </w:p>
    <w:tbl>
      <w:tblPr>
        <w:tblW w:w="4850" w:type="pct"/>
        <w:tblLook w:val="04A0" w:firstRow="1" w:lastRow="0" w:firstColumn="1" w:lastColumn="0" w:noHBand="0" w:noVBand="1"/>
      </w:tblPr>
      <w:tblGrid>
        <w:gridCol w:w="520"/>
        <w:gridCol w:w="1775"/>
        <w:gridCol w:w="750"/>
        <w:gridCol w:w="888"/>
        <w:gridCol w:w="900"/>
        <w:gridCol w:w="1449"/>
        <w:gridCol w:w="1923"/>
        <w:gridCol w:w="1990"/>
      </w:tblGrid>
      <w:tr w:rsidR="00041CB3"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6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CB3" w:rsidRDefault="008D41BC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41CB3"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работа* –</w:t>
            </w:r>
          </w:p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041CB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041CB3">
        <w:trPr>
          <w:cantSplit/>
          <w:trHeight w:val="776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:rsidR="00041CB3" w:rsidRDefault="008D41BC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41CB3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в системе экономических отношений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вопросов темы и результатов самостоятельной работы, выполнение практико-ориентированных заданий</w:t>
            </w:r>
          </w:p>
        </w:tc>
      </w:tr>
      <w:tr w:rsidR="00041CB3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Бюджетно-налоговые риски как разновидность рисков.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вопросов темы и результатов самостоятельной работы, выполнение практико-ориентированных заданий</w:t>
            </w:r>
          </w:p>
        </w:tc>
      </w:tr>
      <w:tr w:rsidR="00041CB3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Подходы к идентификации и управлению бюджетно-налоговыми рисками.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вопросов темы и результатов самостоятельной работы, выполнение практико-ориентированных заданий</w:t>
            </w:r>
          </w:p>
        </w:tc>
      </w:tr>
      <w:tr w:rsidR="00041CB3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Оценка бюджетно-налоговых рисков.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pStyle w:val="af8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вопросов темы и результатов самостоятельной работы, выполнение практико-ориентированны</w:t>
            </w:r>
            <w:r>
              <w:rPr>
                <w:sz w:val="24"/>
                <w:szCs w:val="24"/>
                <w:lang w:eastAsia="en-US"/>
              </w:rPr>
              <w:lastRenderedPageBreak/>
              <w:t>х заданий</w:t>
            </w:r>
          </w:p>
        </w:tc>
      </w:tr>
      <w:tr w:rsidR="00041CB3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Управление бюджетно-налоговыми рисками.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pStyle w:val="af8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вопросов темы и результатов самостоятельной работы, выполнение практико-ориентированных заданий</w:t>
            </w:r>
          </w:p>
        </w:tc>
      </w:tr>
      <w:tr w:rsidR="00041CB3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041CB3" w:rsidRDefault="00041CB3">
      <w:pPr>
        <w:jc w:val="both"/>
        <w:rPr>
          <w:sz w:val="22"/>
          <w:szCs w:val="22"/>
        </w:rPr>
      </w:pPr>
    </w:p>
    <w:p w:rsidR="00041CB3" w:rsidRDefault="00041CB3">
      <w:pPr>
        <w:rPr>
          <w:sz w:val="28"/>
          <w:szCs w:val="28"/>
        </w:rPr>
      </w:pPr>
    </w:p>
    <w:p w:rsidR="00041CB3" w:rsidRDefault="008D41BC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37763921"/>
      <w:bookmarkStart w:id="25" w:name="_Toc168054993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4"/>
      <w:bookmarkEnd w:id="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41CB3" w:rsidRDefault="008D41B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041CB3">
        <w:tc>
          <w:tcPr>
            <w:tcW w:w="2155" w:type="dxa"/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041CB3" w:rsidRDefault="008D41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41CB3">
        <w:tc>
          <w:tcPr>
            <w:tcW w:w="2155" w:type="dxa"/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в системе экономических отношений</w:t>
            </w:r>
          </w:p>
        </w:tc>
        <w:tc>
          <w:tcPr>
            <w:tcW w:w="5869" w:type="dxa"/>
            <w:shd w:val="clear" w:color="auto" w:fill="auto"/>
          </w:tcPr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Экономическая природа риска.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Теории управления рисками. Основные научные концепции риска.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рисков.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 формирования рисков.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Необходимость выявления, анализа и управления рисками.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финансовых рисков государственного сектора, подходы к оценке экономических и социальных последствий.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Специфика внешних и внутренних угроз, неопределенность в государственном секторе экономики.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управления рисками, ее содержание и элементы.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Информационное обеспечение и методика выявления риска.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и подходы, используемые при управлении рисками.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1,6,7,8;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2;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1,2,3,4,5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</w:t>
            </w:r>
          </w:p>
        </w:tc>
        <w:tc>
          <w:tcPr>
            <w:tcW w:w="2171" w:type="dxa"/>
            <w:shd w:val="clear" w:color="auto" w:fill="auto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решение тестовых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ситуационных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041CB3">
        <w:tc>
          <w:tcPr>
            <w:tcW w:w="2155" w:type="dxa"/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Бюджетно-налоговые риски как разновидность рисков.</w:t>
            </w:r>
          </w:p>
        </w:tc>
        <w:tc>
          <w:tcPr>
            <w:tcW w:w="5869" w:type="dxa"/>
          </w:tcPr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Бюджетно-налоговые риски, понятие, классификация и систематизация по однородным признакам.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бюджетно-налоговых рисков и их управления.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влияющие на возникновение бюджетно-налоговых рисков.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управлению бюджетно-налоговых рисков.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Источники информации для идентификации и управления бюджетно-налоговыми рисками. Требования, предъявляемые к информации.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выбора информации.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Значимость и специфика риск-ориентированного подхода в управлении финансами государственного сектора.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Риск-ориентированный подход в управлении бюджетно-налоговыми рисками: мировой опыт и лучшие зарубежные практики.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1,6,7,8;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2;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1,2,3,4,5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</w:t>
            </w:r>
          </w:p>
        </w:tc>
        <w:tc>
          <w:tcPr>
            <w:tcW w:w="2171" w:type="dxa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решение тестовых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ситуационных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обсуждение результатов самостоятельной работы</w:t>
            </w:r>
          </w:p>
        </w:tc>
      </w:tr>
      <w:tr w:rsidR="00041CB3">
        <w:tc>
          <w:tcPr>
            <w:tcW w:w="2155" w:type="dxa"/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идентификации и управлению бюджетно-налоговыми рисками.</w:t>
            </w:r>
          </w:p>
        </w:tc>
        <w:tc>
          <w:tcPr>
            <w:tcW w:w="5869" w:type="dxa"/>
          </w:tcPr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методов идентификации бюджетно-налоговых рисков. Формализованные методы идентификации. Интуитивные методы идентификации.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идентификации фискальных рисков: сканирование внутренней и внешней среды, SWOT-анализ, опросы, стресс-тестирование.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Риск-матрицы как инструмент анализа фискальных рисков.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Алгоритм идентификации бюджетно-налоговых рисков.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ISO 31000 как основа для организации управления фискальными (бюджетными) рисками. Алгоритм управления бюджетно-налоговыми рисками в соответствии со стандартом ISO 31000: установление риск-контекста; идентификация риска; анализ риска; оценка риска; устранение риска; обсуждение и консультации; мониторинг и обзор.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:rsidR="00041CB3" w:rsidRDefault="008D41BC"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</w:t>
            </w:r>
          </w:p>
          <w:p w:rsidR="00041CB3" w:rsidRDefault="008D41BC"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1,2,3,4</w:t>
            </w:r>
          </w:p>
          <w:p w:rsidR="00041CB3" w:rsidRDefault="008D41BC"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1,2;</w:t>
            </w:r>
          </w:p>
          <w:p w:rsidR="00041CB3" w:rsidRDefault="008D41BC"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1,2,3,4,5</w:t>
            </w:r>
          </w:p>
          <w:p w:rsidR="00041CB3" w:rsidRDefault="008D41BC"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</w:t>
            </w:r>
          </w:p>
        </w:tc>
        <w:tc>
          <w:tcPr>
            <w:tcW w:w="2171" w:type="dxa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решение тестовых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ситуационных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041CB3">
        <w:tc>
          <w:tcPr>
            <w:tcW w:w="2155" w:type="dxa"/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бюджетно-налоговых рисков.</w:t>
            </w:r>
          </w:p>
        </w:tc>
        <w:tc>
          <w:tcPr>
            <w:tcW w:w="5869" w:type="dxa"/>
          </w:tcPr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Качественный и количественный этапы оценки бюджетно-налоговых рисков.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Качественный анализ бюджетно-налоговых рисков: выявление источников и причин риска, возможных видов риска.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Внешние и внутренние факторы, влияющие на уровень риска.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Количественные методы анализа и оценки бюджетно-налоговых рисков.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вероятности наступления неблагоприятных событий и оценка величины ущерба.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размеров отдельных рисков, </w:t>
            </w:r>
            <w:r>
              <w:rPr>
                <w:sz w:val="24"/>
                <w:szCs w:val="24"/>
              </w:rPr>
              <w:lastRenderedPageBreak/>
              <w:t xml:space="preserve">производимое математическими и статистическими методами.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вероятности возникновения потерь на основе статистических данных предшествующего периода и установление потенциальных областей (зон) риска, коэффициента риска.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Индикаторы бюджетно-налоговых рисков. Совпадающие индикаторы, косвенно влияющие на наступление рискового события.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Индикаторы эффективного управления.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Причинно-следственные индикаторы.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Индикаторы объема.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Взаимосвязь вероятности и степень важности риска. Описательные индикаторы, индикаторы исполнения и индикаторы контроля. 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реестра бюджетно-налоговых рисков.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1,2,3,4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1,2;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1,2,3,4,5</w:t>
            </w:r>
          </w:p>
          <w:p w:rsidR="00041CB3" w:rsidRDefault="008D41BC">
            <w:pPr>
              <w:pStyle w:val="af8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</w:t>
            </w:r>
          </w:p>
        </w:tc>
        <w:tc>
          <w:tcPr>
            <w:tcW w:w="2171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решение тестовых заданий;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ситуационных заданий;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041CB3">
        <w:tc>
          <w:tcPr>
            <w:tcW w:w="2155" w:type="dxa"/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Управление бюджетно-налоговыми рисками.</w:t>
            </w:r>
          </w:p>
        </w:tc>
        <w:tc>
          <w:tcPr>
            <w:tcW w:w="5869" w:type="dxa"/>
          </w:tcPr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Институциональные механизмы управления бюджетно-налоговыми рисками.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Зарубежная практика управления бюджетно-налоговыми рисками в государственном секторе. 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Характеристика инструментов управления бюджетно-налоговыми рисками. 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Направленный контроль, «потолки бюджетных расходов» (предельные лимиты) как инструмент управления эндогенными рисками. 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Косвенный контроль в управлении рисками, связанными с деятельностью партнеров из частного сектора. 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Передача рисков (</w:t>
            </w:r>
            <w:proofErr w:type="spellStart"/>
            <w:r>
              <w:rPr>
                <w:bCs/>
                <w:sz w:val="24"/>
                <w:szCs w:val="24"/>
              </w:rPr>
              <w:t>risk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transfer</w:t>
            </w:r>
            <w:proofErr w:type="spellEnd"/>
            <w:r>
              <w:rPr>
                <w:bCs/>
                <w:sz w:val="24"/>
                <w:szCs w:val="24"/>
              </w:rPr>
              <w:t>), разделение рисков (</w:t>
            </w:r>
            <w:proofErr w:type="spellStart"/>
            <w:r>
              <w:rPr>
                <w:bCs/>
                <w:sz w:val="24"/>
                <w:szCs w:val="24"/>
              </w:rPr>
              <w:t>risk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sharing</w:t>
            </w:r>
            <w:proofErr w:type="spellEnd"/>
            <w:r>
              <w:rPr>
                <w:bCs/>
                <w:sz w:val="24"/>
                <w:szCs w:val="24"/>
              </w:rPr>
              <w:t xml:space="preserve">). 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Заведомое обеспечение потерь от рисков на основе формирования бюджетных резервов и суверенных фондов.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Риск-ориентированный подход в управлении бюджетно-налоговыми рисками. 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Критерии риск-ориентированного подхода в реализации бюджетно-налоговой политики государства. 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Построение риск-матрицы как инструмента анализа бюджетно-налоговых рисков.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Риск-ориентированное управление в организации и проведении государственного финансового контроля. Цифровизация и автоматизация в процессе осуществления риск-ориентированного управления бюджетно-налоговыми рисками государства.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Рекомендуемые источники: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Раздел 8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5,6;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2;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2,4</w:t>
            </w:r>
          </w:p>
          <w:p w:rsidR="00041CB3" w:rsidRDefault="008D41BC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</w:t>
            </w:r>
          </w:p>
        </w:tc>
        <w:tc>
          <w:tcPr>
            <w:tcW w:w="2171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решение тестовых заданий;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ситуационных заданий;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</w:tbl>
    <w:p w:rsidR="00041CB3" w:rsidRDefault="008D41B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37763922"/>
      <w:bookmarkStart w:id="27" w:name="_Toc168054994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</w:p>
    <w:p w:rsidR="00041CB3" w:rsidRDefault="008D41BC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8" w:name="_Toc137763923"/>
      <w:bookmarkStart w:id="29" w:name="_Toc168054995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</w:p>
    <w:p w:rsidR="00041CB3" w:rsidRDefault="008D41B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5"/>
        <w:gridCol w:w="4077"/>
        <w:gridCol w:w="3543"/>
      </w:tblGrid>
      <w:tr w:rsidR="00041CB3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41CB3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в системе экономических отношений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widowControl/>
              <w:ind w:hanging="1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color w:val="000000" w:themeColor="text1"/>
                <w:sz w:val="24"/>
                <w:szCs w:val="24"/>
              </w:rPr>
              <w:t>Внешние и внутренние угрозы, неопределенность будущих значений целевых экономических и финансовых переменных государственного сектора.</w:t>
            </w:r>
          </w:p>
          <w:p w:rsidR="00041CB3" w:rsidRDefault="008D41BC">
            <w:pPr>
              <w:widowControl/>
              <w:ind w:hanging="1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color w:val="000000" w:themeColor="text1"/>
                <w:sz w:val="24"/>
                <w:szCs w:val="24"/>
              </w:rPr>
              <w:t>Внешнеэкономические угрозы: возможность возникновения или углубления международных конфликтов.</w:t>
            </w:r>
          </w:p>
          <w:p w:rsidR="00041CB3" w:rsidRDefault="008D41BC">
            <w:pPr>
              <w:widowControl/>
              <w:ind w:hanging="1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color w:val="000000" w:themeColor="text1"/>
                <w:sz w:val="24"/>
                <w:szCs w:val="24"/>
              </w:rPr>
              <w:t>Финансовые риски сектора государственного управления и сектора государственных корпораций (организаций), являющихся рыночными производителями товаров (работ, услуг).</w:t>
            </w:r>
          </w:p>
          <w:p w:rsidR="00041CB3" w:rsidRDefault="008D41BC">
            <w:pPr>
              <w:pStyle w:val="af8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Макроэкономические потрясения; риски финансового сектора; риски «фискальных иллюзий».</w:t>
            </w:r>
          </w:p>
          <w:p w:rsidR="00041CB3" w:rsidRDefault="008D41BC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Направления бюджетно-налоговой политики государства в контексте управления рисками государственного сектора.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>ситуационных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041CB3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Бюджетно-налоговые риски как разновидность рисков.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widowControl/>
              <w:ind w:hanging="18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 Оценка состояния бюджета в базовом или текущем периоде.</w:t>
            </w:r>
          </w:p>
          <w:p w:rsidR="00041CB3" w:rsidRDefault="008D41BC">
            <w:pPr>
              <w:widowControl/>
              <w:ind w:hanging="18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2. Определение источников бюджетных рисков как набора макроэкономических шоков и условных обязательств. </w:t>
            </w:r>
          </w:p>
          <w:p w:rsidR="00041CB3" w:rsidRDefault="008D41BC">
            <w:pPr>
              <w:widowControl/>
              <w:ind w:hanging="18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3. Выявление и количественная оценка возможных последствий наступления шоков.</w:t>
            </w:r>
          </w:p>
          <w:p w:rsidR="00041CB3" w:rsidRDefault="008D41BC">
            <w:pPr>
              <w:widowControl/>
              <w:ind w:hanging="1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Налоговая составляющая формирования и реализации бюджетной политики государства: содержание и меры реализации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:rsidR="00041CB3" w:rsidRDefault="008D41BC">
            <w:pPr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решение тестовых заданий</w:t>
            </w:r>
          </w:p>
        </w:tc>
      </w:tr>
      <w:tr w:rsidR="00041CB3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Подходы к идентификации и управлению бюджетно-налоговыми рисками.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pStyle w:val="af8"/>
              <w:tabs>
                <w:tab w:val="left" w:pos="266"/>
              </w:tabs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1.</w:t>
            </w: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Алгоритм управления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фискальными (бюджетными) рисками в соответствии со стандартом ISO 31000.</w:t>
            </w:r>
          </w:p>
          <w:p w:rsidR="00041CB3" w:rsidRDefault="008D41BC">
            <w:pPr>
              <w:widowControl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Этапы управления фискальными (бюджетными) рисками в лучших зарубежных практиках.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учебной и научной </w:t>
            </w:r>
            <w:r>
              <w:rPr>
                <w:sz w:val="24"/>
                <w:szCs w:val="24"/>
              </w:rPr>
              <w:lastRenderedPageBreak/>
              <w:t>литературой, нормативными правовыми актами, открытыми данными;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ситуационных и расчетных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041CB3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4. </w:t>
            </w:r>
          </w:p>
          <w:p w:rsidR="00041CB3" w:rsidRDefault="008D41B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бюджетно-налоговых рисков.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widowControl/>
              <w:ind w:hanging="18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1. Направленный контроль, «потолки бюджетных расходов» (предельные лимиты) как инструмент управления эндогенными рисками. </w:t>
            </w:r>
          </w:p>
          <w:p w:rsidR="00041CB3" w:rsidRDefault="008D41BC">
            <w:pPr>
              <w:pStyle w:val="af8"/>
              <w:widowControl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 Косвенный контроль в управлении рисками, связанными с деятельностью партнеров из частного сектора. Передача рисков (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risk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transfer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>), разделение рисков (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risk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sharing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). </w:t>
            </w:r>
          </w:p>
          <w:p w:rsidR="00041CB3" w:rsidRDefault="008D41BC">
            <w:pPr>
              <w:pStyle w:val="af8"/>
              <w:widowControl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Мониторинг деятельности и рейтингование субъектов управления бюджетно-налоговыми рисками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расчетно-аналитической работы</w:t>
            </w:r>
          </w:p>
        </w:tc>
      </w:tr>
      <w:tr w:rsidR="00041CB3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041CB3" w:rsidRDefault="008D41B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бюджетно-налоговыми рисками.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widowControl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Финансовый риск как возможность отклонения фактических результатов финансовых операций от запланированных.</w:t>
            </w:r>
          </w:p>
          <w:p w:rsidR="00041CB3" w:rsidRDefault="008D41BC">
            <w:pPr>
              <w:widowControl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color w:val="000000" w:themeColor="text1"/>
                <w:sz w:val="24"/>
                <w:szCs w:val="24"/>
              </w:rPr>
              <w:t>Особенности управления рисками крупнейших налогоплательщиков.</w:t>
            </w:r>
          </w:p>
          <w:p w:rsidR="00041CB3" w:rsidRDefault="008D41BC">
            <w:pPr>
              <w:widowControl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Управление рисками суверенных фондов.</w:t>
            </w:r>
          </w:p>
          <w:p w:rsidR="00041CB3" w:rsidRDefault="008D41BC">
            <w:pPr>
              <w:widowControl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Управление рисками участников бюджетно-налоговых правоотношений.</w:t>
            </w:r>
          </w:p>
          <w:p w:rsidR="00041CB3" w:rsidRDefault="00041CB3">
            <w:pPr>
              <w:pStyle w:val="af8"/>
              <w:widowControl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041CB3" w:rsidRDefault="008D41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расчетных и ситуационных заданий</w:t>
            </w:r>
          </w:p>
        </w:tc>
      </w:tr>
    </w:tbl>
    <w:p w:rsidR="00041CB3" w:rsidRDefault="00041CB3">
      <w:pPr>
        <w:pStyle w:val="afc"/>
      </w:pPr>
    </w:p>
    <w:p w:rsidR="00041CB3" w:rsidRDefault="008D41BC">
      <w:pPr>
        <w:pStyle w:val="1"/>
        <w:spacing w:before="0" w:line="360" w:lineRule="auto"/>
        <w:ind w:firstLine="709"/>
        <w:jc w:val="both"/>
        <w:rPr>
          <w:color w:val="auto"/>
        </w:rPr>
      </w:pPr>
      <w:bookmarkStart w:id="30" w:name="_Toc137763924"/>
      <w:bookmarkStart w:id="31" w:name="_Toc168054996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30"/>
      <w:bookmarkEnd w:id="31"/>
    </w:p>
    <w:p w:rsidR="00041CB3" w:rsidRDefault="008D41BC">
      <w:pPr>
        <w:pStyle w:val="af8"/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041CB3" w:rsidRDefault="008D4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Заполните пропущенный фрагмент: Бюджетно-налоговые риски -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_____________ _______________________________________________________________________.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2. Субъектами налогового риска являются участники отношений, регулируемых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законодательством о налогах и сборах в соответствии со следующей статьей НК РФ: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ст.3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ст.8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ст.9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ст.12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ст.19 3.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3. Укажите на соответствие классификационного признака (L) виду налоговых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рисков (R):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L1: по субъектам, несущим налоговые риски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L2: по факторам, определяющим налоговые риски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L3: по объекту связи с другими видами рисков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L4: по виду последствий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L5: по величине возможных потерь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R1: налоговые риски государства, налогоплательщиков, налоговых агентов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>R2: внешние и внутренние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R3: риски, связанные с упущенной выгодой, потерей материальных и нематериальных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ценностей, неплатежеспособностью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R4: налогового контроля, усиления налогового бремени, уголовного преследования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налогового характера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R5: допустимые, критические, катастрофические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>R6: структурные, ассиметричные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4. Заполните пропущенный фрагмент: Индикаторы риска - ________________________________________________________________________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5. Заполните пропущенный фрагмент: Риск-ориентированный подход - ________________________________________________________________________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6. Укажите верные ответы. Стратегия управления рисками включает в себя: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цели и задачи системы управления рисками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принципы и требования к системе управления рисками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риск-таблица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мониторинг рисков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классификация рисков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7. Укажите верные ответы. Основные процессы управления рисками: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идентификация рисков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оценка рисков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мониторинг рисков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архитектура системы управления рисками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 xml:space="preserve">- принципы системы управления рисками 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>8. Продолжите фразу. При идентификации бюджетно-налогового риска определяется следующая информация: ____________________________________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>9. Продолжите фразу. Снижение степени риска - ____________________________</w:t>
      </w:r>
    </w:p>
    <w:p w:rsidR="00041CB3" w:rsidRDefault="008D41BC">
      <w:pPr>
        <w:rPr>
          <w:sz w:val="28"/>
          <w:szCs w:val="28"/>
        </w:rPr>
      </w:pPr>
      <w:r>
        <w:rPr>
          <w:sz w:val="28"/>
          <w:szCs w:val="28"/>
        </w:rPr>
        <w:t>10. Продолжите фразу. Специфика бюджетно-налоговых рисков заключается в _______________________________________________________________________</w:t>
      </w:r>
    </w:p>
    <w:p w:rsidR="00041CB3" w:rsidRDefault="00041CB3">
      <w:pPr>
        <w:tabs>
          <w:tab w:val="left" w:pos="-180"/>
        </w:tabs>
        <w:spacing w:line="360" w:lineRule="exact"/>
        <w:ind w:right="70" w:firstLine="720"/>
        <w:jc w:val="center"/>
        <w:rPr>
          <w:b/>
          <w:sz w:val="28"/>
          <w:szCs w:val="28"/>
        </w:rPr>
      </w:pPr>
    </w:p>
    <w:p w:rsidR="00041CB3" w:rsidRDefault="008D41BC">
      <w:pPr>
        <w:tabs>
          <w:tab w:val="left" w:pos="-180"/>
        </w:tabs>
        <w:spacing w:line="360" w:lineRule="exact"/>
        <w:ind w:right="7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эссе</w:t>
      </w:r>
    </w:p>
    <w:p w:rsidR="00041CB3" w:rsidRDefault="00041CB3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ab/>
        <w:t xml:space="preserve">Источники бюджетно-налоговых рисков, их классификация и характеристика.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ab/>
        <w:t xml:space="preserve">Виды бюджетно-налоговых рисков, оценка экономических и социальных последствий.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ab/>
        <w:t xml:space="preserve">Финансовые риски сектора государственного управления, методы управления ими.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ab/>
        <w:t xml:space="preserve">Система управления финансовыми рисками в сфере закупок товаров, </w:t>
      </w:r>
      <w:r>
        <w:rPr>
          <w:bCs/>
          <w:sz w:val="28"/>
          <w:szCs w:val="28"/>
        </w:rPr>
        <w:lastRenderedPageBreak/>
        <w:t>работ, услуг.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ab/>
        <w:t xml:space="preserve">Классификация МВФ типов потрясений и реализации финансовых рисков общественного сектора.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ab/>
        <w:t xml:space="preserve">Источники информации для анализа бюджетно-налоговых рисков.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  <w:t>Анализ и оценка бюджетно-налоговых рисков в условиях цифровизации экономики.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ab/>
        <w:t xml:space="preserve"> Идентификации рисков бюджетов публично-правовых образований.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>
        <w:rPr>
          <w:bCs/>
          <w:sz w:val="28"/>
          <w:szCs w:val="28"/>
        </w:rPr>
        <w:tab/>
        <w:t>Группировка фискальных рисков по методологии МВФ.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ab/>
        <w:t>Методы идентификации фискальных (бюджетных) рисков.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>
        <w:rPr>
          <w:bCs/>
          <w:sz w:val="28"/>
          <w:szCs w:val="28"/>
        </w:rPr>
        <w:tab/>
        <w:t xml:space="preserve">Риск-матрицы как инструмент анализа бюджетно-налоговых рисков.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</w:t>
      </w:r>
      <w:r>
        <w:rPr>
          <w:bCs/>
          <w:sz w:val="28"/>
          <w:szCs w:val="28"/>
        </w:rPr>
        <w:tab/>
        <w:t>Фискальный стресс-тест (</w:t>
      </w:r>
      <w:proofErr w:type="spellStart"/>
      <w:r>
        <w:rPr>
          <w:bCs/>
          <w:sz w:val="28"/>
          <w:szCs w:val="28"/>
        </w:rPr>
        <w:t>Fiscal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Stress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Test</w:t>
      </w:r>
      <w:proofErr w:type="spellEnd"/>
      <w:r>
        <w:rPr>
          <w:bCs/>
          <w:sz w:val="28"/>
          <w:szCs w:val="28"/>
        </w:rPr>
        <w:t>) как инструмент обзора потенциальных потрясений для общественных финансов.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13.</w:t>
      </w:r>
      <w:r>
        <w:rPr>
          <w:bCs/>
          <w:sz w:val="28"/>
          <w:szCs w:val="28"/>
        </w:rPr>
        <w:tab/>
        <w:t>Алгоритм идентификации бюджетно-налоговых рисков.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14.</w:t>
      </w:r>
      <w:r>
        <w:rPr>
          <w:bCs/>
          <w:sz w:val="28"/>
          <w:szCs w:val="28"/>
        </w:rPr>
        <w:tab/>
        <w:t>Оценка источников бюджетно-налоговых рисков в Российской Федерации.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15.</w:t>
      </w:r>
      <w:r>
        <w:rPr>
          <w:bCs/>
          <w:sz w:val="28"/>
          <w:szCs w:val="28"/>
        </w:rPr>
        <w:tab/>
        <w:t xml:space="preserve">Формирование и актуализация параметров долгосрочных бюджетных прогнозов в Российской Федерации.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16.</w:t>
      </w:r>
      <w:r>
        <w:rPr>
          <w:bCs/>
          <w:sz w:val="28"/>
          <w:szCs w:val="28"/>
        </w:rPr>
        <w:tab/>
        <w:t xml:space="preserve">Стандарт ISO 31000 как основа для организации управления бюджетно-налоговыми рисками.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17.</w:t>
      </w:r>
      <w:r>
        <w:rPr>
          <w:bCs/>
          <w:sz w:val="28"/>
          <w:szCs w:val="28"/>
        </w:rPr>
        <w:tab/>
        <w:t xml:space="preserve">Формирование систем управления бюджетно-налоговыми рисками в лучших зарубежных практиках.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18.</w:t>
      </w:r>
      <w:r>
        <w:rPr>
          <w:bCs/>
          <w:sz w:val="28"/>
          <w:szCs w:val="28"/>
        </w:rPr>
        <w:tab/>
        <w:t xml:space="preserve">Инструменты управления бюджетно-налоговыми рисками.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19.</w:t>
      </w:r>
      <w:r>
        <w:rPr>
          <w:bCs/>
          <w:sz w:val="28"/>
          <w:szCs w:val="28"/>
        </w:rPr>
        <w:tab/>
        <w:t>Передача рисков (</w:t>
      </w:r>
      <w:proofErr w:type="spellStart"/>
      <w:r>
        <w:rPr>
          <w:bCs/>
          <w:sz w:val="28"/>
          <w:szCs w:val="28"/>
        </w:rPr>
        <w:t>risk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transfer</w:t>
      </w:r>
      <w:proofErr w:type="spellEnd"/>
      <w:r>
        <w:rPr>
          <w:bCs/>
          <w:sz w:val="28"/>
          <w:szCs w:val="28"/>
        </w:rPr>
        <w:t>) и разделение рисков (</w:t>
      </w:r>
      <w:proofErr w:type="spellStart"/>
      <w:r>
        <w:rPr>
          <w:bCs/>
          <w:sz w:val="28"/>
          <w:szCs w:val="28"/>
        </w:rPr>
        <w:t>risk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sharing</w:t>
      </w:r>
      <w:proofErr w:type="spellEnd"/>
      <w:r>
        <w:rPr>
          <w:bCs/>
          <w:sz w:val="28"/>
          <w:szCs w:val="28"/>
        </w:rPr>
        <w:t xml:space="preserve">) в формировании и реализации бюджетно-налоговой политики.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20.</w:t>
      </w:r>
      <w:r>
        <w:rPr>
          <w:bCs/>
          <w:sz w:val="28"/>
          <w:szCs w:val="28"/>
        </w:rPr>
        <w:tab/>
        <w:t xml:space="preserve">Система управления бюджетно-налоговыми рисками в Российской Федерации, направления ее совершенствования.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21.</w:t>
      </w:r>
      <w:r>
        <w:rPr>
          <w:bCs/>
          <w:sz w:val="28"/>
          <w:szCs w:val="28"/>
        </w:rPr>
        <w:tab/>
        <w:t xml:space="preserve">Учет стратегических целей развития государства и фактора времени в системе управления бюджетно-налоговыми рисками.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22.</w:t>
      </w:r>
      <w:r>
        <w:rPr>
          <w:bCs/>
          <w:sz w:val="28"/>
          <w:szCs w:val="28"/>
        </w:rPr>
        <w:tab/>
        <w:t xml:space="preserve">Инструменты передачи бюджетно-налогового риска в системе управления государственного финансами, их развитие.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23.</w:t>
      </w:r>
      <w:r>
        <w:rPr>
          <w:bCs/>
          <w:sz w:val="28"/>
          <w:szCs w:val="28"/>
        </w:rPr>
        <w:tab/>
        <w:t xml:space="preserve"> Риск-ориентированный подход в реализации бюджетно-налоговой политики государства (на примере отдельных зарубежных стран).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24.</w:t>
      </w:r>
      <w:r>
        <w:rPr>
          <w:bCs/>
          <w:sz w:val="28"/>
          <w:szCs w:val="28"/>
        </w:rPr>
        <w:tab/>
        <w:t xml:space="preserve">Использование математических и статистических методов для определения размеров отдельных бюджетно-налоговых рисков. 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25.</w:t>
      </w:r>
      <w:r>
        <w:rPr>
          <w:bCs/>
          <w:sz w:val="28"/>
          <w:szCs w:val="28"/>
        </w:rPr>
        <w:tab/>
        <w:t>Индикаторы финансового риска государственного сектора, их виды, взаимосвязь вероятности и степени важности риска.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26.</w:t>
      </w:r>
      <w:r>
        <w:rPr>
          <w:bCs/>
          <w:sz w:val="28"/>
          <w:szCs w:val="28"/>
        </w:rPr>
        <w:tab/>
        <w:t>Систематизация рисков по доходам бюджетов публично-правовых образований.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27.</w:t>
      </w:r>
      <w:r>
        <w:rPr>
          <w:bCs/>
          <w:sz w:val="28"/>
          <w:szCs w:val="28"/>
        </w:rPr>
        <w:tab/>
        <w:t>Систематизация рисков по расходам бюджетов публично-правовых образований.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28. Инструменты повышения налоговой платежеспособности: оценка налоговых рисков, диагностика ликвидности, налоговый календарь, налоговый бюджет.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29.</w:t>
      </w:r>
      <w:r>
        <w:rPr>
          <w:bCs/>
          <w:sz w:val="28"/>
          <w:szCs w:val="28"/>
        </w:rPr>
        <w:tab/>
        <w:t>Риск-ориентированное управление в организации и проведении налогового контроля (в разрезе видов контроля).</w:t>
      </w:r>
    </w:p>
    <w:p w:rsidR="00041CB3" w:rsidRDefault="008D41BC">
      <w:pPr>
        <w:tabs>
          <w:tab w:val="left" w:pos="-180"/>
        </w:tabs>
        <w:ind w:right="68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30.</w:t>
      </w:r>
      <w:r>
        <w:rPr>
          <w:bCs/>
          <w:sz w:val="28"/>
          <w:szCs w:val="28"/>
        </w:rPr>
        <w:tab/>
        <w:t>Риск-ориентированный подход в государственном контроле (надзоре) и муниципальном контроле.</w:t>
      </w:r>
    </w:p>
    <w:p w:rsidR="00041CB3" w:rsidRDefault="00041CB3">
      <w:pPr>
        <w:tabs>
          <w:tab w:val="left" w:pos="-180"/>
        </w:tabs>
        <w:spacing w:line="360" w:lineRule="exact"/>
        <w:ind w:right="70" w:firstLine="720"/>
        <w:jc w:val="both"/>
        <w:rPr>
          <w:bCs/>
          <w:sz w:val="28"/>
          <w:szCs w:val="28"/>
        </w:rPr>
      </w:pPr>
    </w:p>
    <w:p w:rsidR="00041CB3" w:rsidRDefault="008D41BC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41CB3" w:rsidRDefault="008D41BC">
      <w:pPr>
        <w:tabs>
          <w:tab w:val="left" w:pos="-1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FD7330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 общественных финансов.</w:t>
      </w:r>
    </w:p>
    <w:p w:rsidR="00041CB3" w:rsidRDefault="00041CB3">
      <w:pPr>
        <w:tabs>
          <w:tab w:val="left" w:pos="-180"/>
        </w:tabs>
        <w:ind w:firstLine="720"/>
        <w:jc w:val="both"/>
        <w:rPr>
          <w:sz w:val="28"/>
          <w:szCs w:val="28"/>
        </w:rPr>
      </w:pPr>
    </w:p>
    <w:p w:rsidR="00041CB3" w:rsidRDefault="008D41BC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37763926"/>
      <w:bookmarkStart w:id="33" w:name="_Toc168054997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</w:t>
      </w:r>
      <w:bookmarkEnd w:id="32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3"/>
    </w:p>
    <w:p w:rsidR="00041CB3" w:rsidRDefault="008D41BC">
      <w:pPr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41CB3" w:rsidRDefault="00041CB3">
      <w:pPr>
        <w:ind w:firstLine="709"/>
        <w:jc w:val="both"/>
        <w:rPr>
          <w:b/>
          <w:sz w:val="28"/>
          <w:szCs w:val="28"/>
        </w:rPr>
      </w:pPr>
    </w:p>
    <w:p w:rsidR="00041CB3" w:rsidRDefault="008D41BC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41CB3" w:rsidRDefault="00041CB3"/>
    <w:p w:rsidR="00041CB3" w:rsidRDefault="008D41B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1"/>
        <w:tblW w:w="9918" w:type="dxa"/>
        <w:tblLook w:val="04A0" w:firstRow="1" w:lastRow="0" w:firstColumn="1" w:lastColumn="0" w:noHBand="0" w:noVBand="1"/>
      </w:tblPr>
      <w:tblGrid>
        <w:gridCol w:w="2182"/>
        <w:gridCol w:w="2220"/>
        <w:gridCol w:w="2357"/>
        <w:gridCol w:w="3159"/>
      </w:tblGrid>
      <w:tr w:rsidR="00041CB3">
        <w:tc>
          <w:tcPr>
            <w:tcW w:w="2179" w:type="dxa"/>
            <w:vAlign w:val="center"/>
          </w:tcPr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20" w:type="dxa"/>
            <w:vAlign w:val="center"/>
          </w:tcPr>
          <w:p w:rsidR="00041CB3" w:rsidRDefault="008D41B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</w:p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достижения компетенции</w:t>
            </w:r>
          </w:p>
        </w:tc>
        <w:tc>
          <w:tcPr>
            <w:tcW w:w="2357" w:type="dxa"/>
            <w:vAlign w:val="center"/>
          </w:tcPr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61" w:type="dxa"/>
            <w:vAlign w:val="center"/>
          </w:tcPr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041CB3">
        <w:tc>
          <w:tcPr>
            <w:tcW w:w="2179" w:type="dxa"/>
            <w:vMerge w:val="restart"/>
            <w:vAlign w:val="center"/>
          </w:tcPr>
          <w:p w:rsidR="00041CB3" w:rsidRDefault="008D41B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  <w:p w:rsidR="00041CB3" w:rsidRDefault="008D41B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220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357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критерии классификации бюджетно-налоговых рисков, подходы риск-ориентированного управления ими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идентифицировать и систематизировать по классификационным признакам бюджетно-налоговые риски, на их основе уметь раскрывать специфику риск-ориентированного управления финансами </w:t>
            </w:r>
            <w:r>
              <w:rPr>
                <w:sz w:val="24"/>
                <w:szCs w:val="24"/>
              </w:rPr>
              <w:lastRenderedPageBreak/>
              <w:t>государственного сектора</w:t>
            </w:r>
          </w:p>
        </w:tc>
        <w:tc>
          <w:tcPr>
            <w:tcW w:w="3161" w:type="dxa"/>
          </w:tcPr>
          <w:p w:rsidR="00041CB3" w:rsidRDefault="008D41B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:rsidR="00041CB3" w:rsidRDefault="008D41B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Представьте в табличной форме сравнительную характеристику понятий: риск, опасность, угроза, осторожность, страх, прогноз. Опишите возможности и способы управления этими категориями.</w:t>
            </w:r>
          </w:p>
          <w:p w:rsidR="00041CB3" w:rsidRDefault="008D41B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Задание 2.</w:t>
            </w:r>
          </w:p>
          <w:p w:rsidR="00041CB3" w:rsidRDefault="008D41B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 основании изучения научной и учебной литературы дайте авторское видение критериев и классификации бюджетно-налоговых рисков.</w:t>
            </w:r>
          </w:p>
          <w:p w:rsidR="00041CB3" w:rsidRDefault="008D41BC">
            <w:pPr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Охарактеризуйте особенности стратегии и тактики риск-ориентированного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управления финансами государственного сектора.</w:t>
            </w:r>
          </w:p>
        </w:tc>
      </w:tr>
      <w:tr w:rsidR="00041CB3">
        <w:tc>
          <w:tcPr>
            <w:tcW w:w="2179" w:type="dxa"/>
            <w:vMerge/>
            <w:vAlign w:val="center"/>
          </w:tcPr>
          <w:p w:rsidR="00041CB3" w:rsidRDefault="00041CB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357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финансово-экономические показатели на макро-, мезо- и микроуровнях, применяемые в процессе идентификации, оценки и управления бюджетно-налоговыми рисками 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рассчитывать финансово-экономические показатели на макро-, мезо- и микроуровнях, применяемые в процессе идентификации, оценки и управления бюджетно-налоговыми рисками</w:t>
            </w:r>
          </w:p>
        </w:tc>
        <w:tc>
          <w:tcPr>
            <w:tcW w:w="3161" w:type="dxa"/>
          </w:tcPr>
          <w:p w:rsidR="00041CB3" w:rsidRDefault="008D41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Задание 1.</w:t>
            </w:r>
          </w:p>
          <w:p w:rsidR="00041CB3" w:rsidRDefault="008D41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Что включает в себя процесс идентификации, оценки и управления бюджетно-налоговыми рисками? Как влияют экономические закономерности на возможности управления бюджетно-налоговыми рисками? </w:t>
            </w:r>
          </w:p>
          <w:p w:rsidR="00041CB3" w:rsidRDefault="008D41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Ответ представьте в виде схемы с указанием взаимосвязей элементов системы и воздействия внешних факторов, нормативно-правовой базы. </w:t>
            </w:r>
          </w:p>
          <w:p w:rsidR="00041CB3" w:rsidRDefault="008D41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Задание 2.</w:t>
            </w:r>
          </w:p>
          <w:p w:rsidR="00041CB3" w:rsidRDefault="008D41B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Определите последствия негативных воздействий, вызванных наступлением рисковых событий. Сформируйте таблицу, указав в ней бюджетно-налоговые риски, негативные последствия и мероприятия по снижению рисков.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авторский подход к оценке финансово-экономических показателей на макро-, мезо- и микроуровнях, применяемых в процессе идентификации, оценки и управления бюджетно-налоговыми рисками</w:t>
            </w:r>
          </w:p>
        </w:tc>
      </w:tr>
      <w:tr w:rsidR="00041CB3">
        <w:tc>
          <w:tcPr>
            <w:tcW w:w="2179" w:type="dxa"/>
            <w:vMerge w:val="restart"/>
            <w:vAlign w:val="center"/>
          </w:tcPr>
          <w:p w:rsidR="00041CB3" w:rsidRDefault="008D41B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  <w:p w:rsidR="00041CB3" w:rsidRDefault="008D41B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20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357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и методы проведения анализа деятельности органов государственной власти, органов местного самоуправления, органов управления финансами общественного </w:t>
            </w:r>
            <w:r>
              <w:rPr>
                <w:sz w:val="24"/>
                <w:szCs w:val="24"/>
              </w:rPr>
              <w:lastRenderedPageBreak/>
              <w:t>сектора в контексте идентификации и управления бюджетно-налоговыми рисками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оперативные, тактические и стратегические управленческие решения в области финансов общественного сектора, принимаемые органами государственной власти, органами местного самоуправления, органами управления финансами общественного сектора в контексте идентификации и управления бюджетно-налоговыми рисками</w:t>
            </w:r>
          </w:p>
        </w:tc>
        <w:tc>
          <w:tcPr>
            <w:tcW w:w="3161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Схематично представьте систему риск-ориентированного управления с выделением всех элементов и их взаимосвязи (на основе анализа деятельности органов государственной власти, органов местного самоуправления, органов управления финансами общественного сектора). </w:t>
            </w:r>
            <w:r>
              <w:rPr>
                <w:sz w:val="24"/>
                <w:szCs w:val="24"/>
              </w:rPr>
              <w:lastRenderedPageBreak/>
              <w:t>Ответ представьте с указанием нормативной правовой базы.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примеры, раскрывающие специфику управленческих решений в области финансов общественного сектора, принимаемых органами государственной власти, органами местного самоуправления, органами управления финансами общественного сектора в контексте идентификации и управления бюджетно-налоговыми рисками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(риск-ориентированного управления).</w:t>
            </w:r>
          </w:p>
        </w:tc>
      </w:tr>
      <w:tr w:rsidR="00041CB3">
        <w:tc>
          <w:tcPr>
            <w:tcW w:w="2179" w:type="dxa"/>
            <w:vMerge/>
            <w:vAlign w:val="center"/>
          </w:tcPr>
          <w:p w:rsidR="00041CB3" w:rsidRDefault="00041CB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357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решения профессиональных задач в области оценки и управления бюджетно-налоговыми рисками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предлагать варианты решения профессиональных задач в области оценки и управления бюджетно-налоговыми рисками в условиях неопределенности</w:t>
            </w:r>
          </w:p>
        </w:tc>
        <w:tc>
          <w:tcPr>
            <w:tcW w:w="3161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Опираясь на открытые источники информации, представьте систематизацию бюджетно-налогового механизма (на примере публично-правового образования), в отношении которого применяется риск-ориентированный подход, охарактеризуйте особенности.</w:t>
            </w:r>
          </w:p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041CB3" w:rsidRDefault="008D41B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ключевые институциональные проблемы оценки и управления бюджетно-налоговыми рисками </w:t>
            </w:r>
            <w:r>
              <w:rPr>
                <w:iCs/>
                <w:sz w:val="24"/>
                <w:szCs w:val="24"/>
              </w:rPr>
              <w:t>при осуществлении бюджетно-</w:t>
            </w:r>
            <w:r>
              <w:rPr>
                <w:iCs/>
                <w:sz w:val="24"/>
                <w:szCs w:val="24"/>
              </w:rPr>
              <w:lastRenderedPageBreak/>
              <w:t xml:space="preserve">налоговой политики государства, организации государственного контроля (надзора). </w:t>
            </w:r>
            <w:r>
              <w:rPr>
                <w:sz w:val="24"/>
                <w:szCs w:val="24"/>
              </w:rPr>
              <w:t>Результаты представьте в табличной форме.</w:t>
            </w:r>
          </w:p>
        </w:tc>
      </w:tr>
      <w:tr w:rsidR="00041CB3">
        <w:tc>
          <w:tcPr>
            <w:tcW w:w="2179" w:type="dxa"/>
            <w:vMerge w:val="restart"/>
            <w:vAlign w:val="center"/>
          </w:tcPr>
          <w:p w:rsidR="00041CB3" w:rsidRDefault="008D41B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ПКП-2</w:t>
            </w:r>
          </w:p>
          <w:p w:rsidR="00041CB3" w:rsidRDefault="008D41B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220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2357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Знать: показатели, обоснованно и достоверно характеризующие основные параметры формирования и исполнения бюджетов бюджетной системы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Уметь: выявлять бюджетно-налоговые риски при оценке показателей, обоснованно и достоверно характеризующих основные параметры формирования и исполнения бюджетов бюджетной системы</w:t>
            </w:r>
          </w:p>
        </w:tc>
        <w:tc>
          <w:tcPr>
            <w:tcW w:w="3161" w:type="dxa"/>
          </w:tcPr>
          <w:p w:rsidR="00041CB3" w:rsidRDefault="008D41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Задание 1</w:t>
            </w:r>
          </w:p>
          <w:p w:rsidR="00041CB3" w:rsidRDefault="008D41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Представьте в виде схемы алгоритм идентификации бюджетно-налоговых рисков на примере публично-правового образования.</w:t>
            </w:r>
          </w:p>
          <w:p w:rsidR="00041CB3" w:rsidRDefault="008D41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Задание 2</w:t>
            </w:r>
          </w:p>
          <w:p w:rsidR="00041CB3" w:rsidRDefault="008D41BC">
            <w:pPr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Проведите анализ и представьте авторскую типизацию бюджетно-налоговых рисков при оценке показателей, обоснованно и достоверно характеризующих основные параметры формирования и исполнения бюджетов бюджетной системы Российской Федерации. Результаты оформите в виде таблицы.</w:t>
            </w:r>
          </w:p>
        </w:tc>
      </w:tr>
      <w:tr w:rsidR="00041CB3">
        <w:tc>
          <w:tcPr>
            <w:tcW w:w="2179" w:type="dxa"/>
            <w:vMerge/>
            <w:vAlign w:val="center"/>
          </w:tcPr>
          <w:p w:rsidR="00041CB3" w:rsidRDefault="00041CB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2357" w:type="dxa"/>
          </w:tcPr>
          <w:p w:rsidR="00041CB3" w:rsidRDefault="008D41BC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Знать: современные методы сбора, обработки и анализа информации, необходимой для расчета и интерпретации основных бюджетных показателей в части идентификации и оценки бюджетно-налоговых рисков 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Уметь: применять методы сбора, обработки и анализа информации, необходимой для расчета и интерпретации основных бюджетных </w:t>
            </w:r>
            <w:r>
              <w:rPr>
                <w:iCs/>
                <w:color w:val="000000" w:themeColor="text1"/>
                <w:sz w:val="24"/>
                <w:szCs w:val="24"/>
              </w:rPr>
              <w:lastRenderedPageBreak/>
              <w:t>показателей в части идентификации и оценки бюджетно-налоговых рисков</w:t>
            </w:r>
          </w:p>
          <w:p w:rsidR="00041CB3" w:rsidRDefault="008D41B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для принятия решений по управлению ими</w:t>
            </w:r>
          </w:p>
        </w:tc>
        <w:tc>
          <w:tcPr>
            <w:tcW w:w="3161" w:type="dxa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Представьте в виде блок-схемы основные этапы управления бюджетно-налоговыми рисками (в сравнении опыта Российской Федерации и любого государства на выбор): (1) определение источников рисков и оценка их величины и вероятности реализации на основании ретроспективного анализа макроэкономических показателей; (2) оценка возможных мер смягчения последствий рисков для бюджета публично-правового образования; (3) определение необходимости принятия и финансирования рисков, последствия </w:t>
            </w:r>
            <w:r>
              <w:rPr>
                <w:sz w:val="24"/>
                <w:szCs w:val="24"/>
              </w:rPr>
              <w:lastRenderedPageBreak/>
              <w:t xml:space="preserve">которых не подлежат смягчению; (4) определение дополнительных бюджетных расходов для покрытия рисков. 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Сделайте выводы о возможности использования зарубежного опыта в российской практике управления бюджетно-налоговыми рисками.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</w:t>
            </w:r>
          </w:p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изученных бюджетных показателей в части идентификации и оценки бюджетно-налоговых рисков представьте в виде алгоритма механизм принятия решений по управлению ими.</w:t>
            </w:r>
          </w:p>
        </w:tc>
      </w:tr>
    </w:tbl>
    <w:p w:rsidR="00041CB3" w:rsidRDefault="00041CB3"/>
    <w:p w:rsidR="00041CB3" w:rsidRDefault="00041CB3"/>
    <w:p w:rsidR="00041CB3" w:rsidRDefault="008D41BC">
      <w:pPr>
        <w:spacing w:line="360" w:lineRule="auto"/>
        <w:ind w:firstLine="709"/>
        <w:jc w:val="center"/>
      </w:pPr>
      <w:r>
        <w:rPr>
          <w:b/>
          <w:sz w:val="28"/>
          <w:szCs w:val="28"/>
        </w:rPr>
        <w:t>Примерный перечень вопросов для подготовки к зачету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Теории управления рисками.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научные концепции риска.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рисков. Факторы формирования рисков.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Виды финансовых рисков государственного сектора, подходы к оценке экономических и социальных последствий.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Специфика внешних и внутренних угроз, неопределенность в государственном секторе экономики.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рисками, ее содержание и элементы.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Информационное обеспечение и методика выявления риска.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и подходы, используемые при управлении рисками.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Бюджетно-налоговые риски, понятие, классификация и систематизация по однородным признакам.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Специфика бюджетно-налоговых рисков и их управления.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Факторы, влияющие на возникновение бюджетно-налоговых рисков.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Подходы к управлению бюджетно-налоговых рисков.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Источники информации для идентификации и управления бюджетно-налоговыми рисками.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Значимость и специфика риск-ориентированного подхода в управлении финансами государственного сектора.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Индикаторы риск-ориентированного управления финансами государственного сектора.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Риск-ориентированный подход в управлении бюджетно-налоговыми рисками: мировой опыт и лучшие зарубежные практики.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методов идентификации бюджетно-налоговых рисков.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идентификации фискальных рисков.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Риск-матрицы как инструмент анализа фискальных рисков.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идентификации бюджетно-налоговых рисков.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ISO 31000 как основа для организации управления фискальными (бюджетными) рисками.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управления бюджетно-налоговыми рисками в соответствии со стандартом ISO 31000.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Качественный и количественный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этапы оценки бюджетно-налоговых рисков.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Внешние факторы, влияющие на уровень риска.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Внутренние факторы, влияющие на уровень риска.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Оценка вероятности наступления неблагоприятных событий и оценка величины ущерба.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Определение размеров отдельных рисков, производимое математическими и статистическими методами.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Определение вероятности возникновения потерь на основе статистических данных предшествующего периода и установление потенциальных областей (зон) риска, коэффициента риска.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Индикаторы бюджетно-налоговых рисков.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Ведение реестра бюджетно-налоговых рисков.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Институциональные механизмы управления бюджетно-налоговыми рисками.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Зарубежная практика управления бюджетно-налоговыми рисками в государственном секторе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Характеристика инструментов управления бюджетно-налоговыми рисками. 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Передача рисков, разделение рисков.</w:t>
      </w:r>
    </w:p>
    <w:p w:rsidR="00041CB3" w:rsidRDefault="008D41BC">
      <w:pPr>
        <w:pStyle w:val="afc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Заведомое обеспечение потерь от рисков на основе формирования бюджетных резервов и суверенных фондов.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Риск-ориентированный подход в управлении бюджетно-налоговыми рисками.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Критерии риск-ориентированного подхода в реализации бюджетно-налоговой политики государства.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Построение р</w:t>
      </w:r>
      <w:r>
        <w:rPr>
          <w:bCs/>
          <w:color w:val="000000"/>
          <w:sz w:val="28"/>
          <w:szCs w:val="28"/>
        </w:rPr>
        <w:t>иск-матрицы как инструмента анализа бюджетно-налоговых рисков.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Риск-ориентированное управление в организации и проведении государственного финансового контроля. </w:t>
      </w:r>
    </w:p>
    <w:p w:rsidR="00041CB3" w:rsidRDefault="008D41BC">
      <w:pPr>
        <w:pStyle w:val="af8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Цифровизация и автоматизация в процессе осуществления риск-ориентированного управления бюджетно-налоговыми рисками государства.</w:t>
      </w:r>
    </w:p>
    <w:p w:rsidR="00041CB3" w:rsidRDefault="00041CB3"/>
    <w:p w:rsidR="00041CB3" w:rsidRDefault="008D41BC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37763927"/>
      <w:bookmarkStart w:id="35" w:name="_Toc168054998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:rsidR="00041CB3" w:rsidRDefault="008D41BC">
      <w:pPr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а) Нормативные правовые акты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bookmarkStart w:id="36" w:name="bib"/>
      <w:bookmarkEnd w:id="36"/>
      <w:r>
        <w:rPr>
          <w:color w:val="000000" w:themeColor="text1"/>
          <w:sz w:val="28"/>
          <w:szCs w:val="28"/>
        </w:rPr>
        <w:t>Конституция Российской Федерации, принятая всенародным голосованием 12.12.1993.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Бюджетный кодекс Российской Федерации от 31 июля 1998 г. № 145-ФЗ. 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Налоговый кодекс Российской Федерации (часть первая) от 31 июля 1998 г. № 146- ФЗ.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Налоговый кодекс Российской Федерации (часть вторая) от 5 августа 2000 г. № 117- ФЗ.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ГОСТ Р 51897-2011. Менеджмент риска. Термины и определения// </w:t>
      </w:r>
      <w:hyperlink r:id="rId8">
        <w:r>
          <w:rPr>
            <w:color w:val="000000" w:themeColor="text1"/>
            <w:sz w:val="28"/>
            <w:szCs w:val="28"/>
          </w:rPr>
          <w:t>www.internet-law.ru/gosts/gost/51596/</w:t>
        </w:r>
      </w:hyperlink>
      <w:r>
        <w:rPr>
          <w:color w:val="000000" w:themeColor="text1"/>
          <w:sz w:val="28"/>
          <w:szCs w:val="28"/>
        </w:rPr>
        <w:t xml:space="preserve">  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ГОСТ Р ИСО 31000:2010 «Менеджмент риска. Принципы и руководство» (Приказ Росстандарта от 21.12.2010 N 883-ст). 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ГОСТ Р ИСО 31010:2011 «Менеджмент риска. Методы оценки риска» (Приказ Федерального агентства по техническому регулированию и метрологии от 1 декабря 2011 г. N 680-ст).  </w:t>
      </w:r>
    </w:p>
    <w:p w:rsidR="00041CB3" w:rsidRDefault="008D41BC">
      <w:pPr>
        <w:pStyle w:val="af8"/>
        <w:widowControl/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управления рисками Федерации Европейских Ассоциаций Риск Менеджеров (FERMA).</w:t>
      </w:r>
    </w:p>
    <w:p w:rsidR="00041CB3" w:rsidRDefault="008D41BC">
      <w:pPr>
        <w:pStyle w:val="af8"/>
        <w:tabs>
          <w:tab w:val="left" w:pos="993"/>
        </w:tabs>
        <w:ind w:left="0" w:firstLine="709"/>
        <w:contextualSpacing/>
        <w:jc w:val="both"/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>б) Основная литература:</w:t>
      </w:r>
    </w:p>
    <w:p w:rsidR="00041CB3" w:rsidRDefault="008D41BC">
      <w:pPr>
        <w:pStyle w:val="af8"/>
        <w:widowControl/>
        <w:tabs>
          <w:tab w:val="left" w:pos="66"/>
          <w:tab w:val="left" w:pos="851"/>
        </w:tabs>
        <w:ind w:left="178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 Солодов, А. К. Основы финансового риск-</w:t>
      </w:r>
      <w:proofErr w:type="gramStart"/>
      <w:r>
        <w:rPr>
          <w:color w:val="000000" w:themeColor="text1"/>
          <w:sz w:val="28"/>
          <w:szCs w:val="28"/>
        </w:rPr>
        <w:t>менеджмента :</w:t>
      </w:r>
      <w:proofErr w:type="gramEnd"/>
      <w:r>
        <w:rPr>
          <w:color w:val="000000" w:themeColor="text1"/>
          <w:sz w:val="28"/>
          <w:szCs w:val="28"/>
        </w:rPr>
        <w:t xml:space="preserve"> учеб. и учеб. пособие / А. К. Солодов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Изд. Александра К. </w:t>
      </w:r>
      <w:proofErr w:type="spellStart"/>
      <w:r>
        <w:rPr>
          <w:color w:val="000000" w:themeColor="text1"/>
          <w:sz w:val="28"/>
          <w:szCs w:val="28"/>
        </w:rPr>
        <w:t>Солодова</w:t>
      </w:r>
      <w:proofErr w:type="spellEnd"/>
      <w:r>
        <w:rPr>
          <w:color w:val="000000" w:themeColor="text1"/>
          <w:sz w:val="28"/>
          <w:szCs w:val="28"/>
        </w:rPr>
        <w:t xml:space="preserve">, 2018. — ЭБ Финуниверситета. </w:t>
      </w:r>
      <w:r>
        <w:rPr>
          <w:rFonts w:eastAsiaTheme="minorEastAsia"/>
          <w:color w:val="000000" w:themeColor="text1"/>
          <w:sz w:val="28"/>
          <w:szCs w:val="28"/>
        </w:rPr>
        <w:t>—</w:t>
      </w:r>
      <w:r>
        <w:rPr>
          <w:color w:val="000000" w:themeColor="text1"/>
          <w:sz w:val="28"/>
          <w:szCs w:val="28"/>
        </w:rPr>
        <w:t xml:space="preserve"> URL: </w:t>
      </w:r>
      <w:hyperlink r:id="rId9">
        <w:r>
          <w:rPr>
            <w:color w:val="000000" w:themeColor="text1"/>
            <w:sz w:val="28"/>
            <w:szCs w:val="28"/>
          </w:rPr>
          <w:t>http://elib.fa.ru/fbook/solodov_64842.pdf</w:t>
        </w:r>
      </w:hyperlink>
      <w:r>
        <w:rPr>
          <w:color w:val="000000" w:themeColor="text1"/>
          <w:sz w:val="28"/>
          <w:szCs w:val="28"/>
        </w:rPr>
        <w:t xml:space="preserve"> (дата обращения: 27.03.2024). </w:t>
      </w:r>
      <w:r>
        <w:rPr>
          <w:rFonts w:eastAsiaTheme="minorEastAsia"/>
          <w:color w:val="000000" w:themeColor="text1"/>
          <w:sz w:val="28"/>
          <w:szCs w:val="28"/>
        </w:rPr>
        <w:t>—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41CB3" w:rsidRDefault="00041CB3">
      <w:pPr>
        <w:pStyle w:val="af8"/>
        <w:widowControl/>
        <w:tabs>
          <w:tab w:val="left" w:pos="66"/>
          <w:tab w:val="left" w:pos="851"/>
        </w:tabs>
        <w:ind w:left="1789"/>
        <w:contextualSpacing/>
        <w:jc w:val="both"/>
        <w:rPr>
          <w:color w:val="000000" w:themeColor="text1"/>
          <w:sz w:val="28"/>
          <w:szCs w:val="28"/>
        </w:rPr>
      </w:pPr>
    </w:p>
    <w:p w:rsidR="00041CB3" w:rsidRDefault="008D41BC">
      <w:pPr>
        <w:pStyle w:val="af8"/>
        <w:tabs>
          <w:tab w:val="left" w:pos="993"/>
        </w:tabs>
        <w:ind w:left="0"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в) Дополнительная литература:</w:t>
      </w:r>
    </w:p>
    <w:p w:rsidR="00041CB3" w:rsidRDefault="008D41BC">
      <w:pPr>
        <w:pStyle w:val="af8"/>
        <w:widowControl/>
        <w:tabs>
          <w:tab w:val="left" w:pos="993"/>
        </w:tabs>
        <w:suppressAutoHyphens w:val="0"/>
        <w:ind w:left="502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10. Лапина, М. А. Современная стратегия развития государственного </w:t>
      </w:r>
      <w:proofErr w:type="gramStart"/>
      <w:r>
        <w:rPr>
          <w:color w:val="000000" w:themeColor="text1"/>
          <w:sz w:val="28"/>
          <w:szCs w:val="28"/>
        </w:rPr>
        <w:t>управления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студентов, </w:t>
      </w:r>
      <w:proofErr w:type="spellStart"/>
      <w:r>
        <w:rPr>
          <w:color w:val="000000" w:themeColor="text1"/>
          <w:sz w:val="28"/>
          <w:szCs w:val="28"/>
        </w:rPr>
        <w:t>обуч</w:t>
      </w:r>
      <w:proofErr w:type="spellEnd"/>
      <w:r>
        <w:rPr>
          <w:color w:val="000000" w:themeColor="text1"/>
          <w:sz w:val="28"/>
          <w:szCs w:val="28"/>
        </w:rPr>
        <w:t xml:space="preserve">. по напр. </w:t>
      </w:r>
      <w:proofErr w:type="spellStart"/>
      <w:r>
        <w:rPr>
          <w:color w:val="000000" w:themeColor="text1"/>
          <w:sz w:val="28"/>
          <w:szCs w:val="28"/>
        </w:rPr>
        <w:t>подгот</w:t>
      </w:r>
      <w:proofErr w:type="spellEnd"/>
      <w:r>
        <w:rPr>
          <w:color w:val="000000" w:themeColor="text1"/>
          <w:sz w:val="28"/>
          <w:szCs w:val="28"/>
        </w:rPr>
        <w:t xml:space="preserve">. "Административное право", Административный процесс" / М. А. Лапина, Н. Ф. Попова, А. В. </w:t>
      </w:r>
      <w:proofErr w:type="gramStart"/>
      <w:r>
        <w:rPr>
          <w:color w:val="000000" w:themeColor="text1"/>
          <w:sz w:val="28"/>
          <w:szCs w:val="28"/>
        </w:rPr>
        <w:t>Остроушко ;</w:t>
      </w:r>
      <w:proofErr w:type="gramEnd"/>
      <w:r>
        <w:rPr>
          <w:color w:val="000000" w:themeColor="text1"/>
          <w:sz w:val="28"/>
          <w:szCs w:val="28"/>
        </w:rPr>
        <w:t xml:space="preserve"> под общ. ред. Г. Ф. Ручкиной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 </w:t>
      </w:r>
      <w:r>
        <w:rPr>
          <w:rFonts w:eastAsiaTheme="minorEastAsia"/>
          <w:color w:val="000000" w:themeColor="text1"/>
          <w:sz w:val="28"/>
          <w:szCs w:val="28"/>
        </w:rPr>
        <w:t xml:space="preserve">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Юстиция, 2023. </w:t>
      </w:r>
      <w:r>
        <w:rPr>
          <w:rFonts w:eastAsiaTheme="minorEastAsia"/>
          <w:color w:val="000000" w:themeColor="text1"/>
          <w:sz w:val="28"/>
          <w:szCs w:val="28"/>
        </w:rPr>
        <w:t>—</w:t>
      </w:r>
      <w:r>
        <w:rPr>
          <w:color w:val="000000" w:themeColor="text1"/>
          <w:sz w:val="28"/>
          <w:szCs w:val="28"/>
        </w:rPr>
        <w:t xml:space="preserve">275 с. </w:t>
      </w:r>
      <w:r>
        <w:rPr>
          <w:rFonts w:eastAsiaTheme="minorEastAsia"/>
          <w:color w:val="000000" w:themeColor="text1"/>
          <w:sz w:val="28"/>
          <w:szCs w:val="28"/>
        </w:rPr>
        <w:t>— (Магистратура и аспирантура).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</w:rPr>
        <w:t>—</w:t>
      </w:r>
      <w:r>
        <w:rPr>
          <w:color w:val="000000" w:themeColor="text1"/>
          <w:sz w:val="28"/>
          <w:szCs w:val="28"/>
        </w:rPr>
        <w:t xml:space="preserve"> ISBN 978-5-4365-6020-5.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непосредственный. </w:t>
      </w:r>
    </w:p>
    <w:p w:rsidR="00041CB3" w:rsidRDefault="008D41BC">
      <w:pPr>
        <w:pStyle w:val="af8"/>
        <w:widowControl/>
        <w:tabs>
          <w:tab w:val="left" w:pos="993"/>
        </w:tabs>
        <w:ind w:left="502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  </w:t>
      </w:r>
      <w:proofErr w:type="spellStart"/>
      <w:r>
        <w:rPr>
          <w:color w:val="000000" w:themeColor="text1"/>
          <w:sz w:val="28"/>
          <w:szCs w:val="28"/>
        </w:rPr>
        <w:t>Лукасевич</w:t>
      </w:r>
      <w:proofErr w:type="spellEnd"/>
      <w:r>
        <w:rPr>
          <w:color w:val="000000" w:themeColor="text1"/>
          <w:sz w:val="28"/>
          <w:szCs w:val="28"/>
        </w:rPr>
        <w:t xml:space="preserve">, И. Я. Прогнозирование финансовых кризисов: методы, модели, </w:t>
      </w:r>
      <w:proofErr w:type="gramStart"/>
      <w:r>
        <w:rPr>
          <w:color w:val="000000" w:themeColor="text1"/>
          <w:sz w:val="28"/>
          <w:szCs w:val="28"/>
        </w:rPr>
        <w:t>индикаторы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И. Я. </w:t>
      </w:r>
      <w:proofErr w:type="spellStart"/>
      <w:r>
        <w:rPr>
          <w:color w:val="000000" w:themeColor="text1"/>
          <w:sz w:val="28"/>
          <w:szCs w:val="28"/>
        </w:rPr>
        <w:t>Лукасевич</w:t>
      </w:r>
      <w:proofErr w:type="spellEnd"/>
      <w:r>
        <w:rPr>
          <w:color w:val="000000" w:themeColor="text1"/>
          <w:sz w:val="28"/>
          <w:szCs w:val="28"/>
        </w:rPr>
        <w:t xml:space="preserve">, Е. А. Федорова.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Вузовский учебник : ИНФРА-М,2022. — 126 с. — (Научная книга). — ISBN 978-5-9558-0443-9. </w:t>
      </w:r>
      <w:r>
        <w:rPr>
          <w:rFonts w:eastAsiaTheme="minorEastAsia"/>
          <w:color w:val="000000" w:themeColor="text1"/>
          <w:sz w:val="28"/>
          <w:szCs w:val="28"/>
        </w:rPr>
        <w:t>—</w:t>
      </w:r>
      <w:r>
        <w:rPr>
          <w:color w:val="000000" w:themeColor="text1"/>
          <w:sz w:val="28"/>
          <w:szCs w:val="28"/>
        </w:rPr>
        <w:t xml:space="preserve"> ЭБС ZNANIUM. </w:t>
      </w:r>
      <w:r>
        <w:rPr>
          <w:rFonts w:eastAsiaTheme="minorEastAsia"/>
          <w:color w:val="000000" w:themeColor="text1"/>
          <w:sz w:val="28"/>
          <w:szCs w:val="28"/>
        </w:rPr>
        <w:t>—</w:t>
      </w:r>
      <w:r>
        <w:rPr>
          <w:color w:val="000000" w:themeColor="text1"/>
          <w:sz w:val="28"/>
          <w:szCs w:val="28"/>
        </w:rPr>
        <w:t xml:space="preserve"> URL: https://znanium.com/catalog/product/1946470 (дата обращения: 27.03.2024).</w:t>
      </w:r>
      <w:r>
        <w:rPr>
          <w:rStyle w:val="-"/>
          <w:color w:val="000000" w:themeColor="text1"/>
          <w:sz w:val="28"/>
          <w:szCs w:val="28"/>
          <w:u w:val="none"/>
        </w:rPr>
        <w:t xml:space="preserve"> — </w:t>
      </w:r>
      <w:proofErr w:type="gramStart"/>
      <w:r>
        <w:rPr>
          <w:rStyle w:val="-"/>
          <w:color w:val="000000" w:themeColor="text1"/>
          <w:sz w:val="28"/>
          <w:szCs w:val="28"/>
          <w:u w:val="none"/>
        </w:rPr>
        <w:t>Текст :</w:t>
      </w:r>
      <w:proofErr w:type="gramEnd"/>
      <w:r>
        <w:rPr>
          <w:rStyle w:val="-"/>
          <w:color w:val="000000" w:themeColor="text1"/>
          <w:sz w:val="28"/>
          <w:szCs w:val="28"/>
          <w:u w:val="none"/>
        </w:rPr>
        <w:t xml:space="preserve"> электронный</w:t>
      </w:r>
      <w:r>
        <w:rPr>
          <w:color w:val="000000" w:themeColor="text1"/>
          <w:sz w:val="28"/>
          <w:szCs w:val="28"/>
        </w:rPr>
        <w:t xml:space="preserve">. </w:t>
      </w:r>
    </w:p>
    <w:p w:rsidR="00041CB3" w:rsidRDefault="008D41BC">
      <w:pPr>
        <w:pStyle w:val="af8"/>
        <w:widowControl/>
        <w:tabs>
          <w:tab w:val="left" w:pos="993"/>
        </w:tabs>
        <w:suppressAutoHyphens w:val="0"/>
        <w:ind w:left="502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 Повышение эффективности бюджетных </w:t>
      </w:r>
      <w:proofErr w:type="gramStart"/>
      <w:r>
        <w:rPr>
          <w:color w:val="000000" w:themeColor="text1"/>
          <w:sz w:val="28"/>
          <w:szCs w:val="28"/>
        </w:rPr>
        <w:t>расходов :</w:t>
      </w:r>
      <w:proofErr w:type="gramEnd"/>
      <w:r>
        <w:rPr>
          <w:color w:val="000000" w:themeColor="text1"/>
          <w:sz w:val="28"/>
          <w:szCs w:val="28"/>
        </w:rPr>
        <w:t xml:space="preserve"> учеб. пособие / под общ. ред. А. А. Климова ; АНХ при Правительстве РФ.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Дело АНХ, 2009. — 520 с. — (Образовательные инновации). — ISBN 978-5-7749-0535-5. — ЭБС ZNANIUM. —  URL: https://znanium.com/catalog/product/184202 (дата обращения: 27.03.2024).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41CB3" w:rsidRDefault="008D41BC">
      <w:pPr>
        <w:pStyle w:val="af8"/>
        <w:widowControl/>
        <w:tabs>
          <w:tab w:val="left" w:pos="66"/>
          <w:tab w:val="left" w:pos="851"/>
        </w:tabs>
        <w:ind w:left="0"/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Theme="minorEastAsia"/>
          <w:bCs/>
          <w:color w:val="000000" w:themeColor="text1"/>
          <w:sz w:val="28"/>
          <w:szCs w:val="28"/>
        </w:rPr>
        <w:t xml:space="preserve">  13. Управление общественными финансами: </w:t>
      </w:r>
      <w:proofErr w:type="spellStart"/>
      <w:r>
        <w:rPr>
          <w:rFonts w:eastAsiaTheme="minorEastAsia"/>
          <w:bCs/>
          <w:color w:val="000000" w:themeColor="text1"/>
          <w:sz w:val="28"/>
          <w:szCs w:val="28"/>
        </w:rPr>
        <w:t>международныи</w:t>
      </w:r>
      <w:proofErr w:type="spellEnd"/>
      <w:r>
        <w:rPr>
          <w:rFonts w:eastAsiaTheme="minorEastAsia"/>
          <w:bCs/>
          <w:color w:val="000000" w:themeColor="text1"/>
          <w:sz w:val="28"/>
          <w:szCs w:val="28"/>
        </w:rPr>
        <w:t xml:space="preserve">̆ опыт реализации принципов </w:t>
      </w:r>
      <w:proofErr w:type="spellStart"/>
      <w:r>
        <w:rPr>
          <w:rFonts w:eastAsiaTheme="minorEastAsia"/>
          <w:bCs/>
          <w:color w:val="000000" w:themeColor="text1"/>
          <w:sz w:val="28"/>
          <w:szCs w:val="28"/>
        </w:rPr>
        <w:t>лучшеи</w:t>
      </w:r>
      <w:proofErr w:type="spellEnd"/>
      <w:r>
        <w:rPr>
          <w:rFonts w:eastAsiaTheme="minorEastAsia"/>
          <w:bCs/>
          <w:color w:val="000000" w:themeColor="text1"/>
          <w:sz w:val="28"/>
          <w:szCs w:val="28"/>
        </w:rPr>
        <w:t xml:space="preserve">̆ </w:t>
      </w:r>
      <w:proofErr w:type="gramStart"/>
      <w:r>
        <w:rPr>
          <w:rFonts w:eastAsiaTheme="minorEastAsia"/>
          <w:bCs/>
          <w:color w:val="000000" w:themeColor="text1"/>
          <w:sz w:val="28"/>
          <w:szCs w:val="28"/>
        </w:rPr>
        <w:t>практики :</w:t>
      </w:r>
      <w:proofErr w:type="gramEnd"/>
      <w:r>
        <w:rPr>
          <w:rFonts w:eastAsiaTheme="minor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</w:rPr>
        <w:t xml:space="preserve">[сб. </w:t>
      </w:r>
      <w:proofErr w:type="spellStart"/>
      <w:r>
        <w:rPr>
          <w:rFonts w:eastAsiaTheme="minorEastAsia"/>
          <w:color w:val="000000" w:themeColor="text1"/>
          <w:sz w:val="28"/>
          <w:szCs w:val="28"/>
        </w:rPr>
        <w:t>методич</w:t>
      </w:r>
      <w:proofErr w:type="spellEnd"/>
      <w:r>
        <w:rPr>
          <w:rFonts w:eastAsiaTheme="minorEastAsia"/>
          <w:color w:val="000000" w:themeColor="text1"/>
          <w:sz w:val="28"/>
          <w:szCs w:val="28"/>
        </w:rPr>
        <w:t xml:space="preserve">. материалов].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</w:t>
      </w:r>
      <w:r>
        <w:rPr>
          <w:rFonts w:eastAsiaTheme="minorEastAsia"/>
          <w:color w:val="000000" w:themeColor="text1"/>
          <w:sz w:val="28"/>
          <w:szCs w:val="28"/>
        </w:rPr>
        <w:t xml:space="preserve"> / Минфин России : [сайт]. — Москва, 2017. —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URL</w:t>
      </w:r>
      <w:r>
        <w:rPr>
          <w:color w:val="000000" w:themeColor="text1"/>
          <w:sz w:val="28"/>
          <w:szCs w:val="28"/>
        </w:rPr>
        <w:t xml:space="preserve">: </w:t>
      </w:r>
      <w:hyperlink r:id="rId10">
        <w:r>
          <w:rPr>
            <w:color w:val="000000" w:themeColor="text1"/>
            <w:sz w:val="28"/>
            <w:szCs w:val="28"/>
          </w:rPr>
          <w:t>https://www.minfin.ru/ru/document/?id_4=122551</w:t>
        </w:r>
      </w:hyperlink>
      <w:r>
        <w:rPr>
          <w:color w:val="000000" w:themeColor="text1"/>
          <w:sz w:val="28"/>
          <w:szCs w:val="28"/>
        </w:rPr>
        <w:t xml:space="preserve"> . </w:t>
      </w:r>
      <w:r>
        <w:rPr>
          <w:rFonts w:eastAsiaTheme="minorEastAsia"/>
          <w:color w:val="000000" w:themeColor="text1"/>
          <w:sz w:val="28"/>
          <w:szCs w:val="28"/>
        </w:rPr>
        <w:t>— Д</w:t>
      </w:r>
      <w:r>
        <w:rPr>
          <w:color w:val="000000" w:themeColor="text1"/>
          <w:sz w:val="28"/>
          <w:szCs w:val="28"/>
        </w:rPr>
        <w:t>ата публикации: 17.04.2018.</w:t>
      </w:r>
    </w:p>
    <w:p w:rsidR="00041CB3" w:rsidRDefault="00041CB3">
      <w:pPr>
        <w:pStyle w:val="af8"/>
        <w:widowControl/>
        <w:tabs>
          <w:tab w:val="left" w:pos="66"/>
          <w:tab w:val="left" w:pos="851"/>
        </w:tabs>
        <w:ind w:left="1789"/>
        <w:contextualSpacing/>
        <w:jc w:val="both"/>
        <w:rPr>
          <w:color w:val="000000" w:themeColor="text1"/>
          <w:sz w:val="28"/>
          <w:szCs w:val="28"/>
        </w:rPr>
      </w:pPr>
    </w:p>
    <w:p w:rsidR="00041CB3" w:rsidRDefault="008D41BC">
      <w:pPr>
        <w:pStyle w:val="1"/>
        <w:spacing w:befor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7" w:name="_Toc84922282"/>
      <w:bookmarkStart w:id="38" w:name="_Toc16805499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37"/>
      <w:bookmarkEnd w:id="38"/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  <w:t xml:space="preserve">Автоматизированная система обеспечения законодательной деятельности -www.asozd.duma.gov.ru </w:t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  <w:t xml:space="preserve">Официальный интернет-портал правовой информации - www.pravo.gov.ru </w:t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ab/>
        <w:t>Официальный сайт Федеральной службы государственной статистики —http://www.gks.ru</w:t>
      </w:r>
    </w:p>
    <w:p w:rsidR="00041CB3" w:rsidRDefault="008D41BC">
      <w:pPr>
        <w:widowControl/>
        <w:ind w:firstLine="709"/>
        <w:jc w:val="both"/>
      </w:pPr>
      <w:r>
        <w:rPr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ab/>
      </w:r>
      <w:r>
        <w:rPr>
          <w:sz w:val="28"/>
          <w:szCs w:val="28"/>
        </w:rPr>
        <w:t xml:space="preserve">Официальный сайт Министерства финансов Российской Федерации — </w:t>
      </w:r>
      <w:hyperlink r:id="rId11">
        <w:r>
          <w:rPr>
            <w:sz w:val="28"/>
            <w:szCs w:val="28"/>
          </w:rPr>
          <w:t>http://www1.minfin.ru/ru/</w:t>
        </w:r>
      </w:hyperlink>
      <w:r>
        <w:rPr>
          <w:sz w:val="28"/>
          <w:szCs w:val="28"/>
        </w:rPr>
        <w:t>.</w:t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ab/>
        <w:t>– Официальный сайт открытого бюджета Москвы www.budget.mos.ru;</w:t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>
        <w:rPr>
          <w:sz w:val="28"/>
          <w:szCs w:val="28"/>
        </w:rPr>
        <w:t xml:space="preserve">Официальный сайт Федерального казначейства — </w:t>
      </w:r>
      <w:hyperlink r:id="rId12">
        <w:r>
          <w:rPr>
            <w:sz w:val="28"/>
            <w:szCs w:val="28"/>
          </w:rPr>
          <w:t>https://roskazna.gov.ru/</w:t>
        </w:r>
      </w:hyperlink>
      <w:r>
        <w:rPr>
          <w:color w:val="000000" w:themeColor="text1"/>
          <w:sz w:val="28"/>
          <w:szCs w:val="28"/>
        </w:rPr>
        <w:tab/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</w:t>
      </w:r>
      <w:r>
        <w:rPr>
          <w:color w:val="000000" w:themeColor="text1"/>
          <w:sz w:val="28"/>
          <w:szCs w:val="28"/>
        </w:rPr>
        <w:tab/>
        <w:t>– Официальный сайт Федеральной службы по финансовому мониторингу - www.fedsfm.ru</w:t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8. </w:t>
      </w:r>
      <w:r>
        <w:rPr>
          <w:color w:val="000000" w:themeColor="text1"/>
          <w:sz w:val="28"/>
          <w:szCs w:val="28"/>
        </w:rPr>
        <w:tab/>
        <w:t xml:space="preserve">Информационно-аналитический раздел Министерства финансов Российской Федерации - www.info.minfin.ru </w:t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 </w:t>
      </w:r>
      <w:r>
        <w:rPr>
          <w:color w:val="000000" w:themeColor="text1"/>
          <w:sz w:val="28"/>
          <w:szCs w:val="28"/>
        </w:rPr>
        <w:tab/>
        <w:t>http://www.audit.gov.ru/ - Счетная палата</w:t>
      </w:r>
    </w:p>
    <w:p w:rsidR="00041CB3" w:rsidRDefault="008D41BC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ab/>
        <w:t>Электронная библиотека Финансового университета (ЭБ) http://elib.fa.ru/ (http://library.fa.ru/files/elibfa.pdf)</w:t>
      </w:r>
    </w:p>
    <w:p w:rsidR="00041CB3" w:rsidRDefault="00041CB3">
      <w:pPr>
        <w:rPr>
          <w:highlight w:val="yellow"/>
        </w:rPr>
      </w:pPr>
    </w:p>
    <w:p w:rsidR="00041CB3" w:rsidRDefault="008D41BC" w:rsidP="00E1508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137763929"/>
      <w:bookmarkStart w:id="40" w:name="_Toc168055000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9"/>
      <w:bookmarkEnd w:id="40"/>
    </w:p>
    <w:p w:rsidR="00041CB3" w:rsidRDefault="008D41BC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FD7330">
        <w:rPr>
          <w:spacing w:val="1"/>
          <w:sz w:val="28"/>
          <w:szCs w:val="28"/>
        </w:rPr>
        <w:t>Кафедрой</w:t>
      </w:r>
      <w:r>
        <w:rPr>
          <w:spacing w:val="1"/>
          <w:sz w:val="28"/>
          <w:szCs w:val="28"/>
        </w:rPr>
        <w:t xml:space="preserve"> общественных финансов Финансового факультета.</w:t>
      </w:r>
    </w:p>
    <w:p w:rsidR="00041CB3" w:rsidRDefault="00041CB3">
      <w:pPr>
        <w:widowControl/>
        <w:spacing w:line="360" w:lineRule="auto"/>
        <w:ind w:firstLine="709"/>
        <w:jc w:val="both"/>
      </w:pPr>
    </w:p>
    <w:p w:rsidR="00041CB3" w:rsidRPr="00E15087" w:rsidRDefault="008D41BC" w:rsidP="00E1508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150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041CB3" w:rsidRPr="00E15087" w:rsidRDefault="008D41BC" w:rsidP="00E1508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531614950"/>
      <w:bookmarkStart w:id="42" w:name="_Toc531686467"/>
      <w:r w:rsidRPr="00E15087">
        <w:rPr>
          <w:rFonts w:ascii="Times New Roman" w:hAnsi="Times New Roman" w:cs="Times New Roman"/>
          <w:b/>
          <w:color w:val="auto"/>
          <w:sz w:val="28"/>
          <w:szCs w:val="28"/>
        </w:rPr>
        <w:t>11. 1. Комплект лицензионного программного обеспечения:</w:t>
      </w:r>
      <w:bookmarkEnd w:id="41"/>
      <w:bookmarkEnd w:id="42"/>
    </w:p>
    <w:p w:rsidR="00041CB3" w:rsidRPr="00C345CD" w:rsidRDefault="008D41BC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3" w:name="_Toc531614951"/>
      <w:bookmarkStart w:id="44" w:name="_Toc531686468"/>
      <w:r w:rsidRPr="00C345CD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C345CD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C345C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C345CD">
        <w:rPr>
          <w:rFonts w:eastAsia="Calibri"/>
          <w:sz w:val="28"/>
          <w:szCs w:val="28"/>
        </w:rPr>
        <w:t>.</w:t>
      </w:r>
      <w:bookmarkEnd w:id="43"/>
      <w:bookmarkEnd w:id="44"/>
    </w:p>
    <w:p w:rsidR="00041CB3" w:rsidRPr="00C345CD" w:rsidRDefault="008D41BC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5" w:name="_Toc531614952"/>
      <w:bookmarkStart w:id="46" w:name="_Toc531686469"/>
      <w:r w:rsidRPr="00C345CD">
        <w:rPr>
          <w:rFonts w:eastAsia="Calibri"/>
          <w:sz w:val="28"/>
          <w:szCs w:val="28"/>
        </w:rPr>
        <w:t xml:space="preserve">2. </w:t>
      </w:r>
      <w:bookmarkEnd w:id="45"/>
      <w:bookmarkEnd w:id="46"/>
      <w:r>
        <w:rPr>
          <w:sz w:val="28"/>
          <w:szCs w:val="28"/>
        </w:rPr>
        <w:t>Антивирус</w:t>
      </w:r>
      <w:r w:rsidRPr="00C345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041CB3" w:rsidRPr="00E15087" w:rsidRDefault="008D41BC" w:rsidP="00E1508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531614953"/>
      <w:bookmarkStart w:id="48" w:name="_Toc531686470"/>
      <w:r w:rsidRPr="00E15087">
        <w:rPr>
          <w:rFonts w:ascii="Times New Roman" w:hAnsi="Times New Roman" w:cs="Times New Roman"/>
          <w:b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p w:rsidR="00041CB3" w:rsidRDefault="008D41B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041CB3" w:rsidRDefault="008D41B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041CB3" w:rsidRDefault="008D41B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3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041CB3" w:rsidRPr="00E15087" w:rsidRDefault="008D41BC" w:rsidP="00E1508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1508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:rsidR="00041CB3" w:rsidRDefault="008D41B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041CB3" w:rsidRDefault="008D41B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137763930"/>
      <w:bookmarkStart w:id="50" w:name="_Toc168055001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9"/>
      <w:bookmarkEnd w:id="50"/>
    </w:p>
    <w:p w:rsidR="00041CB3" w:rsidRDefault="008D41BC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041C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041CB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041C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41C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041CB3" w:rsidRDefault="00041CB3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:rsidR="00041CB3" w:rsidRDefault="008D41BC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ook w:val="04A0" w:firstRow="1" w:lastRow="0" w:firstColumn="1" w:lastColumn="0" w:noHBand="0" w:noVBand="1"/>
      </w:tblPr>
      <w:tblGrid>
        <w:gridCol w:w="562"/>
        <w:gridCol w:w="2701"/>
        <w:gridCol w:w="2551"/>
        <w:gridCol w:w="3792"/>
      </w:tblGrid>
      <w:tr w:rsidR="00041CB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041CB3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041CB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041CB3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041CB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3" w:rsidRDefault="00041CB3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:rsidR="00041CB3" w:rsidRDefault="008D4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3" w:rsidRDefault="008D4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041CB3" w:rsidRDefault="00041CB3"/>
    <w:sectPr w:rsidR="00041CB3">
      <w:headerReference w:type="default" r:id="rId14"/>
      <w:footerReference w:type="default" r:id="rId15"/>
      <w:footerReference w:type="first" r:id="rId16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561" w:rsidRDefault="00D74561">
      <w:r>
        <w:separator/>
      </w:r>
    </w:p>
  </w:endnote>
  <w:endnote w:type="continuationSeparator" w:id="0">
    <w:p w:rsidR="00D74561" w:rsidRDefault="00D7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2867799"/>
      <w:docPartObj>
        <w:docPartGallery w:val="Page Numbers (Bottom of Page)"/>
        <w:docPartUnique/>
      </w:docPartObj>
    </w:sdtPr>
    <w:sdtEndPr/>
    <w:sdtContent>
      <w:p w:rsidR="00E15087" w:rsidRDefault="00E15087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1469C">
          <w:rPr>
            <w:noProof/>
          </w:rPr>
          <w:t>2</w:t>
        </w:r>
        <w:r>
          <w:fldChar w:fldCharType="end"/>
        </w:r>
      </w:p>
    </w:sdtContent>
  </w:sdt>
  <w:p w:rsidR="00E15087" w:rsidRDefault="00E15087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594217"/>
      <w:docPartObj>
        <w:docPartGallery w:val="Page Numbers (Bottom of Page)"/>
        <w:docPartUnique/>
      </w:docPartObj>
    </w:sdtPr>
    <w:sdtEndPr/>
    <w:sdtContent>
      <w:p w:rsidR="00E15087" w:rsidRDefault="00E15087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1469C">
          <w:rPr>
            <w:noProof/>
          </w:rPr>
          <w:t>1</w:t>
        </w:r>
        <w:r>
          <w:fldChar w:fldCharType="end"/>
        </w:r>
      </w:p>
    </w:sdtContent>
  </w:sdt>
  <w:p w:rsidR="00E15087" w:rsidRDefault="00E1508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561" w:rsidRDefault="00D74561">
      <w:r>
        <w:separator/>
      </w:r>
    </w:p>
  </w:footnote>
  <w:footnote w:type="continuationSeparator" w:id="0">
    <w:p w:rsidR="00D74561" w:rsidRDefault="00D74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087" w:rsidRDefault="00E15087">
    <w:pPr>
      <w:pStyle w:val="af2"/>
      <w:jc w:val="center"/>
    </w:pPr>
  </w:p>
  <w:p w:rsidR="00E15087" w:rsidRDefault="00E15087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506"/>
    <w:multiLevelType w:val="multilevel"/>
    <w:tmpl w:val="B1C45D1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2B00CDF"/>
    <w:multiLevelType w:val="multilevel"/>
    <w:tmpl w:val="D9DC4B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4704EAD"/>
    <w:multiLevelType w:val="multilevel"/>
    <w:tmpl w:val="196CC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08A1EBE"/>
    <w:multiLevelType w:val="multilevel"/>
    <w:tmpl w:val="4BF465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A934820"/>
    <w:multiLevelType w:val="multilevel"/>
    <w:tmpl w:val="4E04670E"/>
    <w:lvl w:ilvl="0">
      <w:start w:val="1"/>
      <w:numFmt w:val="decimal"/>
      <w:lvlText w:val="%1.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9" w:hanging="180"/>
      </w:pPr>
    </w:lvl>
  </w:abstractNum>
  <w:abstractNum w:abstractNumId="5" w15:restartNumberingAfterBreak="0">
    <w:nsid w:val="7AFB36B2"/>
    <w:multiLevelType w:val="multilevel"/>
    <w:tmpl w:val="198465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CB3"/>
    <w:rsid w:val="00041CB3"/>
    <w:rsid w:val="0021469C"/>
    <w:rsid w:val="002A7CF5"/>
    <w:rsid w:val="0039110B"/>
    <w:rsid w:val="008D41BC"/>
    <w:rsid w:val="00C345CD"/>
    <w:rsid w:val="00D74561"/>
    <w:rsid w:val="00E15087"/>
    <w:rsid w:val="00F37718"/>
    <w:rsid w:val="00FD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CD19E"/>
  <w15:docId w15:val="{7183DE86-D262-4960-A113-DB74D646E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сноски Знак1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1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2">
    <w:name w:val="Заголовок Знак2"/>
    <w:link w:val="a6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0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Абзац списка Знак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11">
    <w:name w:val="Основной текст Знак1"/>
    <w:basedOn w:val="a0"/>
    <w:link w:val="ad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4C0D8D"/>
    <w:rPr>
      <w:i/>
      <w:iCs/>
    </w:rPr>
  </w:style>
  <w:style w:type="character" w:customStyle="1" w:styleId="12">
    <w:name w:val="Заголовок Знак1"/>
    <w:basedOn w:val="a0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0">
    <w:name w:val="Ссылка указателя"/>
    <w:qFormat/>
    <w:rsid w:val="004C0D8D"/>
  </w:style>
  <w:style w:type="character" w:customStyle="1" w:styleId="21">
    <w:name w:val="Основной текст Знак2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Текст выноски Знак1"/>
    <w:basedOn w:val="a0"/>
    <w:link w:val="af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link w:val="af2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Нижний колонтитул Знак2"/>
    <w:basedOn w:val="a0"/>
    <w:link w:val="af3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6">
    <w:name w:val="Title"/>
    <w:basedOn w:val="a"/>
    <w:next w:val="ad"/>
    <w:link w:val="2"/>
    <w:uiPriority w:val="99"/>
    <w:qFormat/>
    <w:rsid w:val="004C0D8D"/>
    <w:pPr>
      <w:widowControl/>
      <w:jc w:val="center"/>
    </w:pPr>
    <w:rPr>
      <w:b/>
      <w:sz w:val="28"/>
    </w:rPr>
  </w:style>
  <w:style w:type="paragraph" w:styleId="ad">
    <w:name w:val="Body Text"/>
    <w:basedOn w:val="a"/>
    <w:link w:val="11"/>
    <w:unhideWhenUsed/>
    <w:rsid w:val="004C0D8D"/>
    <w:pPr>
      <w:widowControl/>
      <w:spacing w:after="120"/>
    </w:pPr>
  </w:style>
  <w:style w:type="paragraph" w:styleId="af5">
    <w:name w:val="List"/>
    <w:basedOn w:val="ad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0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23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8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4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9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E150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et-law.ru/gosts/gost/51596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kazna.g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1.minfin.ru/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minfin.ru/ru/document/?id_4=1225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fbook/solodov_64842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D8FF4-B53C-41D0-A9F0-FF28B3B8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24</Pages>
  <Words>6881</Words>
  <Characters>39226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dc:description/>
  <cp:lastModifiedBy>Зайцева Екатерина Владимировна</cp:lastModifiedBy>
  <cp:revision>21</cp:revision>
  <cp:lastPrinted>2024-05-31T10:35:00Z</cp:lastPrinted>
  <dcterms:created xsi:type="dcterms:W3CDTF">2024-02-07T15:45:00Z</dcterms:created>
  <dcterms:modified xsi:type="dcterms:W3CDTF">2024-06-05T13:47:00Z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